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0682"/>
      </w:tblGrid>
      <w:tr w:rsidR="008C5937" w:rsidRPr="008C5937" w14:paraId="4322BE45" w14:textId="77777777" w:rsidTr="00473B56">
        <w:trPr>
          <w:trHeight w:val="645"/>
        </w:trPr>
        <w:tc>
          <w:tcPr>
            <w:tcW w:w="0" w:type="auto"/>
            <w:shd w:val="clear" w:color="auto" w:fill="00B050"/>
            <w:vAlign w:val="center"/>
            <w:hideMark/>
          </w:tcPr>
          <w:p w14:paraId="46E465D0" w14:textId="17EDB205" w:rsidR="008C5937" w:rsidRPr="008C5937" w:rsidRDefault="008C5937" w:rsidP="008138DF">
            <w:pPr>
              <w:tabs>
                <w:tab w:val="left" w:pos="0"/>
              </w:tabs>
              <w:jc w:val="center"/>
              <w:rPr>
                <w:b/>
                <w:bCs/>
              </w:rPr>
            </w:pPr>
            <w:bookmarkStart w:id="0" w:name="_GoBack"/>
            <w:bookmarkEnd w:id="0"/>
            <w:r w:rsidRPr="00AB2CB8">
              <w:rPr>
                <w:b/>
                <w:bCs/>
                <w:sz w:val="28"/>
                <w:szCs w:val="28"/>
              </w:rPr>
              <w:t>DIPLÔME</w:t>
            </w:r>
            <w:r w:rsidRPr="008C5937">
              <w:rPr>
                <w:b/>
                <w:bCs/>
              </w:rPr>
              <w:t xml:space="preserve"> </w:t>
            </w:r>
            <w:r w:rsidR="00CD5A61">
              <w:rPr>
                <w:b/>
                <w:bCs/>
                <w:sz w:val="28"/>
                <w:szCs w:val="28"/>
              </w:rPr>
              <w:t>D'ÉTUDES SPECIALISÉES DE NEUROCHIRURGIE</w:t>
            </w:r>
          </w:p>
        </w:tc>
      </w:tr>
      <w:tr w:rsidR="00473B56" w:rsidRPr="008C5937" w14:paraId="017A3D45" w14:textId="77777777" w:rsidTr="00473B56">
        <w:trPr>
          <w:trHeight w:val="333"/>
        </w:trPr>
        <w:tc>
          <w:tcPr>
            <w:tcW w:w="0" w:type="auto"/>
            <w:shd w:val="clear" w:color="auto" w:fill="D9D9D9" w:themeFill="background1" w:themeFillShade="D9"/>
            <w:vAlign w:val="center"/>
            <w:hideMark/>
          </w:tcPr>
          <w:p w14:paraId="26EA3183" w14:textId="77777777" w:rsidR="008C5937" w:rsidRPr="008C5937" w:rsidRDefault="008C5937" w:rsidP="00473B56">
            <w:pPr>
              <w:jc w:val="center"/>
              <w:rPr>
                <w:b/>
                <w:bCs/>
              </w:rPr>
            </w:pPr>
            <w:r w:rsidRPr="008C5937">
              <w:rPr>
                <w:b/>
                <w:bCs/>
              </w:rPr>
              <w:t>1. Organisation générale</w:t>
            </w:r>
          </w:p>
        </w:tc>
      </w:tr>
      <w:tr w:rsidR="008C5937" w:rsidRPr="008C5937" w14:paraId="5565F300" w14:textId="77777777" w:rsidTr="00CD5A61">
        <w:trPr>
          <w:trHeight w:val="1259"/>
        </w:trPr>
        <w:tc>
          <w:tcPr>
            <w:tcW w:w="0" w:type="auto"/>
            <w:shd w:val="clear" w:color="auto" w:fill="FFFFFF" w:themeFill="background1"/>
            <w:hideMark/>
          </w:tcPr>
          <w:p w14:paraId="1655D167" w14:textId="77777777" w:rsidR="005809D0" w:rsidRPr="005809D0" w:rsidRDefault="00CD5A61" w:rsidP="003A2C0E">
            <w:pPr>
              <w:pStyle w:val="Paragraphedeliste"/>
              <w:numPr>
                <w:ilvl w:val="1"/>
                <w:numId w:val="2"/>
              </w:numPr>
              <w:shd w:val="clear" w:color="auto" w:fill="FFFFFF" w:themeFill="background1"/>
              <w:rPr>
                <w:b/>
                <w:bCs/>
              </w:rPr>
            </w:pPr>
            <w:r w:rsidRPr="005809D0">
              <w:rPr>
                <w:b/>
                <w:bCs/>
              </w:rPr>
              <w:t>Objectifs généraux de la formation :</w:t>
            </w:r>
            <w:r w:rsidRPr="005809D0">
              <w:rPr>
                <w:rFonts w:ascii="Calibri" w:hAnsi="Calibri"/>
                <w:b/>
              </w:rPr>
              <w:t xml:space="preserve"> </w:t>
            </w:r>
          </w:p>
          <w:p w14:paraId="4766FF89" w14:textId="0267A9B1" w:rsidR="003A2C0E" w:rsidRPr="005809D0" w:rsidRDefault="00CD5A61" w:rsidP="005809D0">
            <w:pPr>
              <w:shd w:val="clear" w:color="auto" w:fill="FFFFFF" w:themeFill="background1"/>
              <w:rPr>
                <w:bCs/>
              </w:rPr>
            </w:pPr>
            <w:r w:rsidRPr="005809D0">
              <w:rPr>
                <w:rFonts w:ascii="Calibri" w:hAnsi="Calibri"/>
              </w:rPr>
              <w:t>L’objectif principal d</w:t>
            </w:r>
            <w:r w:rsidR="005809D0">
              <w:rPr>
                <w:rFonts w:ascii="Calibri" w:hAnsi="Calibri"/>
              </w:rPr>
              <w:t>u DES est la formation du futur</w:t>
            </w:r>
            <w:r w:rsidRPr="005809D0">
              <w:rPr>
                <w:rFonts w:ascii="Calibri" w:hAnsi="Calibri"/>
              </w:rPr>
              <w:t xml:space="preserve"> neurochirurgien lui permettant d’accéder à une autonomie chirurgicale après une période de responsabilité encadrée par ses pairs. Les objectifs généraux de la formation sur la base du métier et des compétences à acquérir sont développés dans le  référentiel de compétences, </w:t>
            </w:r>
            <w:r w:rsidR="00906CC3">
              <w:rPr>
                <w:rFonts w:ascii="Calibri" w:hAnsi="Calibri"/>
              </w:rPr>
              <w:t>(</w:t>
            </w:r>
            <w:r w:rsidR="00906CC3" w:rsidRPr="00906CC3">
              <w:rPr>
                <w:rFonts w:ascii="Calibri" w:hAnsi="Calibri"/>
                <w:i/>
              </w:rPr>
              <w:t>http://web5.unilim.fr/colneuro-test/IMG/pdf_Referentiel_de_competences_neurochirugien_dif.pd</w:t>
            </w:r>
            <w:r w:rsidR="00906CC3">
              <w:rPr>
                <w:rFonts w:ascii="Calibri" w:hAnsi="Calibri"/>
                <w:i/>
              </w:rPr>
              <w:t>f)</w:t>
            </w:r>
          </w:p>
        </w:tc>
      </w:tr>
      <w:tr w:rsidR="008C5937" w:rsidRPr="008C5937" w14:paraId="4A4B92FF" w14:textId="77777777" w:rsidTr="00701F47">
        <w:trPr>
          <w:trHeight w:val="315"/>
        </w:trPr>
        <w:tc>
          <w:tcPr>
            <w:tcW w:w="0" w:type="auto"/>
            <w:shd w:val="clear" w:color="auto" w:fill="auto"/>
            <w:hideMark/>
          </w:tcPr>
          <w:p w14:paraId="7616230D" w14:textId="62B69AF2" w:rsidR="008C5937" w:rsidRPr="008138DF" w:rsidRDefault="008C5937" w:rsidP="00761C31">
            <w:pPr>
              <w:pStyle w:val="Paragraphedeliste"/>
              <w:numPr>
                <w:ilvl w:val="1"/>
                <w:numId w:val="2"/>
              </w:numPr>
              <w:shd w:val="clear" w:color="auto" w:fill="FFFFFF" w:themeFill="background1"/>
              <w:rPr>
                <w:b/>
                <w:bCs/>
              </w:rPr>
            </w:pPr>
            <w:r w:rsidRPr="00761C31">
              <w:rPr>
                <w:b/>
                <w:bCs/>
              </w:rPr>
              <w:t>Durée totale du DES</w:t>
            </w:r>
            <w:r w:rsidR="00CD5A61">
              <w:rPr>
                <w:b/>
                <w:bCs/>
              </w:rPr>
              <w:t xml:space="preserve"> : </w:t>
            </w:r>
            <w:r w:rsidR="00CD5A61" w:rsidRPr="00CD5A61">
              <w:rPr>
                <w:bCs/>
              </w:rPr>
              <w:t>6 ans</w:t>
            </w:r>
          </w:p>
        </w:tc>
      </w:tr>
      <w:tr w:rsidR="008C5937" w:rsidRPr="008C5937" w14:paraId="0DCE4114" w14:textId="77777777" w:rsidTr="00FE2438">
        <w:trPr>
          <w:trHeight w:val="315"/>
        </w:trPr>
        <w:tc>
          <w:tcPr>
            <w:tcW w:w="0" w:type="auto"/>
            <w:hideMark/>
          </w:tcPr>
          <w:p w14:paraId="5053226B" w14:textId="77777777" w:rsidR="00473B56" w:rsidRDefault="008C5937" w:rsidP="008138DF">
            <w:pPr>
              <w:pStyle w:val="Paragraphedeliste"/>
              <w:numPr>
                <w:ilvl w:val="1"/>
                <w:numId w:val="3"/>
              </w:numPr>
              <w:rPr>
                <w:b/>
                <w:bCs/>
              </w:rPr>
            </w:pPr>
            <w:r w:rsidRPr="006D72F6">
              <w:rPr>
                <w:b/>
                <w:bCs/>
              </w:rPr>
              <w:t xml:space="preserve">Intitulé des options </w:t>
            </w:r>
            <w:r w:rsidRPr="006D72F6">
              <w:rPr>
                <w:b/>
                <w:bCs/>
                <w:shd w:val="clear" w:color="auto" w:fill="FFFFFF" w:themeFill="background1"/>
              </w:rPr>
              <w:t>proposées au sein du</w:t>
            </w:r>
            <w:r w:rsidRPr="00473AF4">
              <w:rPr>
                <w:b/>
                <w:bCs/>
                <w:shd w:val="clear" w:color="auto" w:fill="F2F2F2" w:themeFill="background1" w:themeFillShade="F2"/>
              </w:rPr>
              <w:t xml:space="preserve"> </w:t>
            </w:r>
            <w:r w:rsidRPr="006D72F6">
              <w:rPr>
                <w:b/>
                <w:bCs/>
              </w:rPr>
              <w:t>DES</w:t>
            </w:r>
          </w:p>
          <w:p w14:paraId="09C480DC" w14:textId="526AEC77" w:rsidR="008138DF" w:rsidRDefault="008138DF" w:rsidP="008138DF">
            <w:pPr>
              <w:pStyle w:val="Paragraphedeliste"/>
              <w:ind w:left="360"/>
              <w:jc w:val="both"/>
              <w:rPr>
                <w:rFonts w:ascii="Calibri" w:hAnsi="Calibri"/>
              </w:rPr>
            </w:pPr>
            <w:r>
              <w:rPr>
                <w:rFonts w:ascii="Calibri" w:hAnsi="Calibri"/>
              </w:rPr>
              <w:t>Option Radiochirurgie</w:t>
            </w:r>
            <w:r w:rsidRPr="00BB1EE1">
              <w:rPr>
                <w:rFonts w:ascii="Calibri" w:hAnsi="Calibri"/>
              </w:rPr>
              <w:t xml:space="preserve"> </w:t>
            </w:r>
          </w:p>
          <w:p w14:paraId="205C3E49" w14:textId="6AFE64B3" w:rsidR="008C5937" w:rsidRPr="008138DF" w:rsidRDefault="008138DF" w:rsidP="008138DF">
            <w:pPr>
              <w:pStyle w:val="Paragraphedeliste"/>
              <w:ind w:left="360"/>
              <w:jc w:val="both"/>
              <w:rPr>
                <w:rFonts w:ascii="Calibri" w:hAnsi="Calibri"/>
              </w:rPr>
            </w:pPr>
            <w:r>
              <w:rPr>
                <w:rFonts w:ascii="Calibri" w:hAnsi="Calibri"/>
              </w:rPr>
              <w:t>Option  Neurochirurgie pédiatrique</w:t>
            </w:r>
            <w:r w:rsidRPr="009D55F2">
              <w:rPr>
                <w:rFonts w:ascii="Calibri" w:hAnsi="Calibri"/>
              </w:rPr>
              <w:t xml:space="preserve"> </w:t>
            </w:r>
          </w:p>
        </w:tc>
      </w:tr>
      <w:tr w:rsidR="008C5937" w:rsidRPr="008C5937" w14:paraId="3500C409" w14:textId="77777777" w:rsidTr="00FE2438">
        <w:trPr>
          <w:trHeight w:val="420"/>
        </w:trPr>
        <w:tc>
          <w:tcPr>
            <w:tcW w:w="0" w:type="auto"/>
            <w:hideMark/>
          </w:tcPr>
          <w:p w14:paraId="3CA3457A" w14:textId="77777777" w:rsidR="0063600C" w:rsidRDefault="008C5937" w:rsidP="006D72F6">
            <w:pPr>
              <w:shd w:val="clear" w:color="auto" w:fill="FFFFFF" w:themeFill="background1"/>
              <w:rPr>
                <w:b/>
                <w:bCs/>
              </w:rPr>
            </w:pPr>
            <w:r w:rsidRPr="008C5937">
              <w:rPr>
                <w:b/>
                <w:bCs/>
              </w:rPr>
              <w:t>1.4. Intitulé des formations spécialisées transversales (FST) associées</w:t>
            </w:r>
          </w:p>
          <w:p w14:paraId="322EA6F1" w14:textId="3C6A0E34" w:rsidR="008138DF" w:rsidRPr="008138DF" w:rsidRDefault="008138DF" w:rsidP="008138DF">
            <w:pPr>
              <w:jc w:val="both"/>
              <w:rPr>
                <w:rFonts w:ascii="Calibri" w:hAnsi="Calibri"/>
              </w:rPr>
            </w:pPr>
            <w:r w:rsidRPr="008138DF">
              <w:rPr>
                <w:rFonts w:ascii="Calibri" w:hAnsi="Calibri"/>
              </w:rPr>
              <w:t xml:space="preserve">FST oncologie médicale </w:t>
            </w:r>
          </w:p>
          <w:p w14:paraId="5EAD2F69" w14:textId="42C73AFA" w:rsidR="008C5937" w:rsidRPr="008C5937" w:rsidRDefault="008138DF" w:rsidP="008138DF">
            <w:r>
              <w:rPr>
                <w:rFonts w:ascii="Calibri" w:hAnsi="Calibri"/>
              </w:rPr>
              <w:t>FST endoneurovasculaire</w:t>
            </w:r>
          </w:p>
        </w:tc>
      </w:tr>
      <w:tr w:rsidR="008C5937" w:rsidRPr="008C5937" w14:paraId="716A9943" w14:textId="77777777" w:rsidTr="00473B56">
        <w:trPr>
          <w:trHeight w:val="362"/>
        </w:trPr>
        <w:tc>
          <w:tcPr>
            <w:tcW w:w="0" w:type="auto"/>
            <w:shd w:val="clear" w:color="auto" w:fill="D9D9D9" w:themeFill="background1" w:themeFillShade="D9"/>
            <w:vAlign w:val="center"/>
            <w:hideMark/>
          </w:tcPr>
          <w:p w14:paraId="796D4E87" w14:textId="77777777" w:rsidR="008C5937" w:rsidRPr="008C5937" w:rsidRDefault="008C5937" w:rsidP="00473B56">
            <w:pPr>
              <w:jc w:val="center"/>
              <w:rPr>
                <w:b/>
                <w:bCs/>
              </w:rPr>
            </w:pPr>
            <w:r w:rsidRPr="008C5937">
              <w:rPr>
                <w:b/>
                <w:bCs/>
              </w:rPr>
              <w:t>2. Phase socle</w:t>
            </w:r>
          </w:p>
        </w:tc>
      </w:tr>
      <w:tr w:rsidR="008C5937" w:rsidRPr="008C5937" w14:paraId="371D832E" w14:textId="77777777" w:rsidTr="00FE2438">
        <w:trPr>
          <w:trHeight w:val="315"/>
        </w:trPr>
        <w:tc>
          <w:tcPr>
            <w:tcW w:w="0" w:type="auto"/>
            <w:hideMark/>
          </w:tcPr>
          <w:p w14:paraId="40311C75" w14:textId="304DA197" w:rsidR="008C5937" w:rsidRPr="008C5937" w:rsidRDefault="00FE2438" w:rsidP="008138DF">
            <w:pPr>
              <w:rPr>
                <w:b/>
                <w:bCs/>
              </w:rPr>
            </w:pPr>
            <w:r>
              <w:rPr>
                <w:b/>
                <w:bCs/>
              </w:rPr>
              <w:t xml:space="preserve">2.1. Durée </w:t>
            </w:r>
            <w:r w:rsidR="008C5937" w:rsidRPr="008C5937">
              <w:rPr>
                <w:b/>
                <w:bCs/>
              </w:rPr>
              <w:t>:</w:t>
            </w:r>
            <w:r w:rsidR="008138DF">
              <w:rPr>
                <w:b/>
                <w:bCs/>
              </w:rPr>
              <w:t xml:space="preserve"> </w:t>
            </w:r>
            <w:r w:rsidR="008138DF" w:rsidRPr="008138DF">
              <w:rPr>
                <w:bCs/>
              </w:rPr>
              <w:t>Deux semestres</w:t>
            </w:r>
          </w:p>
        </w:tc>
      </w:tr>
      <w:tr w:rsidR="008C5937" w:rsidRPr="008C5937" w14:paraId="2ACCA643" w14:textId="77777777" w:rsidTr="006D72F6">
        <w:trPr>
          <w:trHeight w:val="300"/>
        </w:trPr>
        <w:tc>
          <w:tcPr>
            <w:tcW w:w="0" w:type="auto"/>
            <w:shd w:val="clear" w:color="auto" w:fill="auto"/>
            <w:hideMark/>
          </w:tcPr>
          <w:p w14:paraId="023E4AEA" w14:textId="77777777" w:rsidR="008C5937" w:rsidRPr="008C5937" w:rsidRDefault="008C5937" w:rsidP="006D72F6">
            <w:pPr>
              <w:rPr>
                <w:b/>
                <w:bCs/>
              </w:rPr>
            </w:pPr>
            <w:r w:rsidRPr="008C5937">
              <w:rPr>
                <w:b/>
                <w:bCs/>
              </w:rPr>
              <w:t>2.2. Enseignements hors stages</w:t>
            </w:r>
          </w:p>
        </w:tc>
      </w:tr>
      <w:tr w:rsidR="008C5937" w:rsidRPr="008C5937" w14:paraId="0FFEE3B7" w14:textId="77777777" w:rsidTr="00FE2438">
        <w:trPr>
          <w:trHeight w:val="300"/>
        </w:trPr>
        <w:tc>
          <w:tcPr>
            <w:tcW w:w="0" w:type="auto"/>
            <w:hideMark/>
          </w:tcPr>
          <w:p w14:paraId="5F1DA990" w14:textId="5B610A6B" w:rsidR="008C5225" w:rsidRPr="008138DF" w:rsidRDefault="008C5937" w:rsidP="008138DF">
            <w:pPr>
              <w:rPr>
                <w:b/>
                <w:bCs/>
                <w:i/>
                <w:iCs/>
              </w:rPr>
            </w:pPr>
            <w:r w:rsidRPr="008C5937">
              <w:rPr>
                <w:b/>
                <w:bCs/>
                <w:i/>
                <w:iCs/>
              </w:rPr>
              <w:t xml:space="preserve">Volume horaire : </w:t>
            </w:r>
            <w:r w:rsidR="008138DF" w:rsidRPr="00CC06B4">
              <w:rPr>
                <w:bCs/>
                <w:iCs/>
              </w:rPr>
              <w:t>300h</w:t>
            </w:r>
          </w:p>
        </w:tc>
      </w:tr>
      <w:tr w:rsidR="008C5937" w:rsidRPr="008C5937" w14:paraId="7124102C" w14:textId="77777777" w:rsidTr="00FE2438">
        <w:trPr>
          <w:trHeight w:val="300"/>
        </w:trPr>
        <w:tc>
          <w:tcPr>
            <w:tcW w:w="0" w:type="auto"/>
            <w:hideMark/>
          </w:tcPr>
          <w:p w14:paraId="40729442" w14:textId="77777777" w:rsidR="008C5937" w:rsidRDefault="008C5937" w:rsidP="008C5225">
            <w:pPr>
              <w:rPr>
                <w:b/>
                <w:bCs/>
                <w:i/>
                <w:iCs/>
              </w:rPr>
            </w:pPr>
            <w:r w:rsidRPr="008C5937">
              <w:rPr>
                <w:b/>
                <w:bCs/>
                <w:i/>
                <w:iCs/>
              </w:rPr>
              <w:t xml:space="preserve">Nature des enseignements : </w:t>
            </w:r>
          </w:p>
          <w:p w14:paraId="06AE8B56" w14:textId="22B21A85" w:rsidR="008C5225" w:rsidRPr="008C5225" w:rsidRDefault="008138DF" w:rsidP="008138DF">
            <w:pPr>
              <w:jc w:val="both"/>
              <w:rPr>
                <w:bCs/>
                <w:iCs/>
              </w:rPr>
            </w:pPr>
            <w:r>
              <w:rPr>
                <w:rFonts w:ascii="Calibri" w:hAnsi="Calibri"/>
              </w:rPr>
              <w:t>Enseignement national en e-learning complét</w:t>
            </w:r>
            <w:r w:rsidR="0095689F">
              <w:rPr>
                <w:rFonts w:ascii="Calibri" w:hAnsi="Calibri"/>
              </w:rPr>
              <w:t>é d’un enseignement inter-régio</w:t>
            </w:r>
            <w:r>
              <w:rPr>
                <w:rFonts w:ascii="Calibri" w:hAnsi="Calibri"/>
              </w:rPr>
              <w:t>nal en visio-conférence ou en présentiel</w:t>
            </w:r>
          </w:p>
        </w:tc>
      </w:tr>
      <w:tr w:rsidR="008C5937" w:rsidRPr="008C5937" w14:paraId="4F723930" w14:textId="77777777" w:rsidTr="00FE2438">
        <w:trPr>
          <w:trHeight w:val="300"/>
        </w:trPr>
        <w:tc>
          <w:tcPr>
            <w:tcW w:w="0" w:type="auto"/>
            <w:hideMark/>
          </w:tcPr>
          <w:p w14:paraId="3B1FD66F" w14:textId="71FD17E2" w:rsidR="008C5225" w:rsidRPr="008138DF" w:rsidRDefault="008C5937" w:rsidP="008138DF">
            <w:pPr>
              <w:rPr>
                <w:b/>
                <w:bCs/>
              </w:rPr>
            </w:pPr>
            <w:r w:rsidRPr="008C5937">
              <w:rPr>
                <w:b/>
                <w:bCs/>
                <w:i/>
                <w:iCs/>
              </w:rPr>
              <w:t>Connaissances de base dans la spécialité à acquérir :</w:t>
            </w:r>
            <w:r w:rsidRPr="008C5937">
              <w:rPr>
                <w:b/>
                <w:bCs/>
              </w:rPr>
              <w:t xml:space="preserve"> </w:t>
            </w:r>
            <w:r w:rsidR="008138DF">
              <w:rPr>
                <w:rFonts w:ascii="Calibri" w:hAnsi="Calibri"/>
              </w:rPr>
              <w:t xml:space="preserve">Lors de la phase socle les étudiants devront acquérir les connaissances </w:t>
            </w:r>
            <w:r w:rsidR="008138DF">
              <w:t xml:space="preserve">correspondant aux UE initiales des 10 domaines de la neurochirurgie, dont les objectifs sont décrits en annexe </w:t>
            </w:r>
            <w:r w:rsidR="00737212">
              <w:t>1</w:t>
            </w:r>
            <w:r w:rsidR="00C737E3">
              <w:t xml:space="preserve"> publiée sur le campus de neurochirurgie (</w:t>
            </w:r>
            <w:r w:rsidR="00C737E3" w:rsidRPr="00C737E3">
              <w:t>https://campus.neurochirurgie.fr/</w:t>
            </w:r>
            <w:r w:rsidR="00C737E3">
              <w:t>)</w:t>
            </w:r>
          </w:p>
        </w:tc>
      </w:tr>
      <w:tr w:rsidR="008C5937" w:rsidRPr="008C5937" w14:paraId="5E971BC8" w14:textId="77777777" w:rsidTr="00FE2438">
        <w:trPr>
          <w:trHeight w:val="300"/>
        </w:trPr>
        <w:tc>
          <w:tcPr>
            <w:tcW w:w="0" w:type="auto"/>
            <w:hideMark/>
          </w:tcPr>
          <w:p w14:paraId="2937D946" w14:textId="22EFFFC6" w:rsidR="008C5225" w:rsidRPr="009063F8" w:rsidRDefault="008C5937" w:rsidP="009063F8">
            <w:r w:rsidRPr="008C5937">
              <w:rPr>
                <w:b/>
                <w:bCs/>
                <w:i/>
                <w:iCs/>
              </w:rPr>
              <w:t>Connaissances transversales à acquérir :</w:t>
            </w:r>
            <w:r w:rsidRPr="008C5937">
              <w:t xml:space="preserve"> </w:t>
            </w:r>
            <w:r w:rsidR="009063F8">
              <w:rPr>
                <w:rFonts w:ascii="Calibri" w:hAnsi="Calibri"/>
              </w:rPr>
              <w:t>Connaissances</w:t>
            </w:r>
            <w:r w:rsidR="008138DF">
              <w:rPr>
                <w:rFonts w:ascii="Calibri" w:hAnsi="Calibri"/>
              </w:rPr>
              <w:t xml:space="preserve"> transversales des spécialités chirurgicales proposées par le collège de chirurgie digestive</w:t>
            </w:r>
          </w:p>
        </w:tc>
      </w:tr>
      <w:tr w:rsidR="008C5937" w:rsidRPr="008C5937" w14:paraId="522D401A" w14:textId="77777777" w:rsidTr="006D72F6">
        <w:trPr>
          <w:trHeight w:val="300"/>
        </w:trPr>
        <w:tc>
          <w:tcPr>
            <w:tcW w:w="0" w:type="auto"/>
            <w:shd w:val="clear" w:color="auto" w:fill="auto"/>
            <w:hideMark/>
          </w:tcPr>
          <w:p w14:paraId="6611C130" w14:textId="77777777" w:rsidR="008C5937" w:rsidRPr="008C5937" w:rsidRDefault="008C5937" w:rsidP="006D72F6">
            <w:pPr>
              <w:rPr>
                <w:b/>
                <w:bCs/>
              </w:rPr>
            </w:pPr>
            <w:r w:rsidRPr="008C5937">
              <w:rPr>
                <w:b/>
                <w:bCs/>
              </w:rPr>
              <w:t>2.3. Stages</w:t>
            </w:r>
          </w:p>
        </w:tc>
      </w:tr>
      <w:tr w:rsidR="00FE2438" w:rsidRPr="008C5937" w14:paraId="1D7620DA" w14:textId="77777777" w:rsidTr="00FE2438">
        <w:trPr>
          <w:trHeight w:val="300"/>
        </w:trPr>
        <w:tc>
          <w:tcPr>
            <w:tcW w:w="0" w:type="auto"/>
            <w:hideMark/>
          </w:tcPr>
          <w:p w14:paraId="2D011457" w14:textId="158A3808" w:rsidR="003A2C0E" w:rsidRPr="009063F8" w:rsidRDefault="003A2C0E" w:rsidP="00CD5A61">
            <w:pPr>
              <w:rPr>
                <w:b/>
                <w:i/>
              </w:rPr>
            </w:pPr>
            <w:r w:rsidRPr="003A2C0E">
              <w:rPr>
                <w:b/>
                <w:i/>
              </w:rPr>
              <w:t>Stages à réaliser</w:t>
            </w:r>
            <w:r w:rsidR="009063F8">
              <w:rPr>
                <w:b/>
                <w:i/>
              </w:rPr>
              <w:t xml:space="preserve"> : </w:t>
            </w:r>
            <w:r w:rsidR="009063F8" w:rsidRPr="009063F8">
              <w:t xml:space="preserve">2 Stages </w:t>
            </w:r>
            <w:r w:rsidR="00C737E3">
              <w:t xml:space="preserve"> de six mois </w:t>
            </w:r>
            <w:r w:rsidR="009063F8" w:rsidRPr="009063F8">
              <w:t>de neurochirurgie</w:t>
            </w:r>
          </w:p>
        </w:tc>
      </w:tr>
      <w:tr w:rsidR="00FE2438" w:rsidRPr="008C5937" w14:paraId="71077EFB" w14:textId="77777777" w:rsidTr="00FE2438">
        <w:trPr>
          <w:trHeight w:val="300"/>
        </w:trPr>
        <w:tc>
          <w:tcPr>
            <w:tcW w:w="0" w:type="auto"/>
            <w:hideMark/>
          </w:tcPr>
          <w:p w14:paraId="68FF17E7" w14:textId="0F854674" w:rsidR="00B75489" w:rsidRDefault="00FE2438" w:rsidP="00B75489">
            <w:r w:rsidRPr="008C5937">
              <w:rPr>
                <w:b/>
                <w:bCs/>
                <w:i/>
                <w:iCs/>
              </w:rPr>
              <w:t>Critères d'agrément des stages de niveau I dans la spécialité :</w:t>
            </w:r>
            <w:r w:rsidRPr="008C5937">
              <w:rPr>
                <w:b/>
                <w:bCs/>
              </w:rPr>
              <w:t xml:space="preserve"> </w:t>
            </w:r>
            <w:r w:rsidR="009063F8" w:rsidRPr="009063F8">
              <w:rPr>
                <w:bCs/>
              </w:rPr>
              <w:t>En CHU</w:t>
            </w:r>
            <w:r w:rsidR="009063F8">
              <w:rPr>
                <w:b/>
                <w:bCs/>
              </w:rPr>
              <w:t>.</w:t>
            </w:r>
            <w:r w:rsidR="00B75489">
              <w:t xml:space="preserve"> supervision direc</w:t>
            </w:r>
            <w:r w:rsidR="002421AF">
              <w:t>te, fort niveau d’encadrement, s</w:t>
            </w:r>
            <w:r w:rsidR="00B75489">
              <w:t>ituation</w:t>
            </w:r>
            <w:r w:rsidR="002421AF">
              <w:t>s</w:t>
            </w:r>
            <w:r w:rsidR="00B75489">
              <w:t xml:space="preserve"> pathologique</w:t>
            </w:r>
            <w:r w:rsidR="002421AF">
              <w:t>s</w:t>
            </w:r>
            <w:r w:rsidR="00B75489">
              <w:t xml:space="preserve"> fréquente</w:t>
            </w:r>
            <w:r w:rsidR="002421AF">
              <w:t>s</w:t>
            </w:r>
            <w:r w:rsidR="00B75489">
              <w:t xml:space="preserve"> et urgences</w:t>
            </w:r>
          </w:p>
          <w:p w14:paraId="7A3E2A1F" w14:textId="1A77EC76" w:rsidR="00B75489" w:rsidRDefault="00B75489" w:rsidP="00B75489">
            <w:r>
              <w:t>Enseignement</w:t>
            </w:r>
            <w:r w:rsidR="00906CC3">
              <w:t>s</w:t>
            </w:r>
            <w:r>
              <w:t xml:space="preserve"> spécifique</w:t>
            </w:r>
            <w:r w:rsidR="00906CC3">
              <w:t>s</w:t>
            </w:r>
            <w:r>
              <w:t xml:space="preserve"> sur le terrain de stage (RCP, biblio…)</w:t>
            </w:r>
          </w:p>
          <w:p w14:paraId="72924900" w14:textId="06EC9A53" w:rsidR="008C5225" w:rsidRPr="002421AF" w:rsidRDefault="00B75489" w:rsidP="00B75489">
            <w:r>
              <w:t>Initiation à une activité scientifique</w:t>
            </w:r>
          </w:p>
        </w:tc>
      </w:tr>
      <w:tr w:rsidR="00FE2438" w:rsidRPr="008C5937" w14:paraId="470B31DA" w14:textId="77777777" w:rsidTr="006D72F6">
        <w:trPr>
          <w:trHeight w:val="300"/>
        </w:trPr>
        <w:tc>
          <w:tcPr>
            <w:tcW w:w="0" w:type="auto"/>
            <w:shd w:val="clear" w:color="auto" w:fill="auto"/>
            <w:hideMark/>
          </w:tcPr>
          <w:p w14:paraId="479F584C" w14:textId="77777777" w:rsidR="00FE2438" w:rsidRPr="008C5937" w:rsidRDefault="00FE2438" w:rsidP="006D72F6">
            <w:pPr>
              <w:rPr>
                <w:b/>
                <w:bCs/>
              </w:rPr>
            </w:pPr>
            <w:r w:rsidRPr="008C5937">
              <w:rPr>
                <w:b/>
                <w:bCs/>
              </w:rPr>
              <w:t>2.4. Compétences à acquérir</w:t>
            </w:r>
          </w:p>
        </w:tc>
      </w:tr>
      <w:tr w:rsidR="00FE2438" w:rsidRPr="008C5937" w14:paraId="4EA1151D" w14:textId="77777777" w:rsidTr="00FE2438">
        <w:trPr>
          <w:trHeight w:val="300"/>
        </w:trPr>
        <w:tc>
          <w:tcPr>
            <w:tcW w:w="0" w:type="auto"/>
            <w:hideMark/>
          </w:tcPr>
          <w:p w14:paraId="56B0906A" w14:textId="09EB8C41" w:rsidR="008C5225" w:rsidRPr="008B7665" w:rsidRDefault="00FE2438" w:rsidP="008B7665">
            <w:pPr>
              <w:jc w:val="both"/>
              <w:rPr>
                <w:rFonts w:ascii="Calibri" w:hAnsi="Calibri"/>
              </w:rPr>
            </w:pPr>
            <w:r w:rsidRPr="008B7665">
              <w:rPr>
                <w:b/>
                <w:bCs/>
                <w:i/>
                <w:iCs/>
              </w:rPr>
              <w:t>Compétences génériques et transversales à acquérir :</w:t>
            </w:r>
            <w:r w:rsidRPr="008B7665">
              <w:rPr>
                <w:b/>
                <w:bCs/>
              </w:rPr>
              <w:t xml:space="preserve"> </w:t>
            </w:r>
            <w:r w:rsidR="009063F8" w:rsidRPr="008B7665">
              <w:rPr>
                <w:rFonts w:ascii="Calibri" w:hAnsi="Calibri"/>
              </w:rPr>
              <w:t>L’étudiant doit acquérir ou finir d’acquérir à la suite du 2</w:t>
            </w:r>
            <w:r w:rsidR="009063F8" w:rsidRPr="008B7665">
              <w:rPr>
                <w:rFonts w:ascii="Calibri" w:hAnsi="Calibri"/>
                <w:vertAlign w:val="superscript"/>
              </w:rPr>
              <w:t>ème</w:t>
            </w:r>
            <w:r w:rsidR="009063F8" w:rsidRPr="008B7665">
              <w:rPr>
                <w:rFonts w:ascii="Calibri" w:hAnsi="Calibri"/>
              </w:rPr>
              <w:t xml:space="preserve"> cycle les 7 compétences génériques (Clinicien, communicateur, coopérateur, acteur de santé publique, réflexique, scientifique, responsable éthique et déontologique) décrites dans le référentiel du deuxième cycle des études médicales (annexe 2</w:t>
            </w:r>
            <w:r w:rsidR="00C737E3">
              <w:t xml:space="preserve"> publiée sur le campus de neurochirurgie (</w:t>
            </w:r>
            <w:r w:rsidR="00C737E3" w:rsidRPr="00C737E3">
              <w:t>https://campus.neurochirurgie.fr/</w:t>
            </w:r>
            <w:r w:rsidR="00C737E3">
              <w:t>)</w:t>
            </w:r>
            <w:r w:rsidR="009063F8" w:rsidRPr="008B7665">
              <w:rPr>
                <w:rFonts w:ascii="Calibri" w:hAnsi="Calibri"/>
              </w:rPr>
              <w:t>).</w:t>
            </w:r>
          </w:p>
        </w:tc>
      </w:tr>
      <w:tr w:rsidR="00FE2438" w:rsidRPr="008C5937" w14:paraId="0C33A911" w14:textId="77777777" w:rsidTr="00FE2438">
        <w:trPr>
          <w:trHeight w:val="300"/>
        </w:trPr>
        <w:tc>
          <w:tcPr>
            <w:tcW w:w="0" w:type="auto"/>
            <w:hideMark/>
          </w:tcPr>
          <w:p w14:paraId="74923209" w14:textId="77777777" w:rsidR="0095689F" w:rsidRDefault="00FE2438" w:rsidP="008B7665">
            <w:pPr>
              <w:jc w:val="both"/>
            </w:pPr>
            <w:r w:rsidRPr="008B7665">
              <w:rPr>
                <w:b/>
                <w:bCs/>
                <w:i/>
                <w:iCs/>
              </w:rPr>
              <w:t>Compétences spécifiques à la spécialité à acquérir :</w:t>
            </w:r>
            <w:r w:rsidRPr="008C5937">
              <w:t xml:space="preserve"> </w:t>
            </w:r>
          </w:p>
          <w:p w14:paraId="5C03B249" w14:textId="43BDCB91" w:rsidR="0095689F" w:rsidRPr="0095689F" w:rsidRDefault="009063F8" w:rsidP="0095689F">
            <w:pPr>
              <w:pStyle w:val="Paragraphedeliste"/>
              <w:numPr>
                <w:ilvl w:val="0"/>
                <w:numId w:val="10"/>
              </w:numPr>
              <w:jc w:val="both"/>
              <w:rPr>
                <w:rFonts w:ascii="Calibri" w:hAnsi="Calibri"/>
              </w:rPr>
            </w:pPr>
            <w:r w:rsidRPr="0095689F">
              <w:rPr>
                <w:rFonts w:ascii="Calibri" w:hAnsi="Calibri"/>
              </w:rPr>
              <w:t>sont décrites dans l’application i-neuroc</w:t>
            </w:r>
            <w:r w:rsidR="00737212" w:rsidRPr="0095689F">
              <w:rPr>
                <w:rFonts w:ascii="Calibri" w:hAnsi="Calibri"/>
              </w:rPr>
              <w:t>hirurgie niveau junior (annexe 3</w:t>
            </w:r>
            <w:r w:rsidR="0095689F" w:rsidRPr="0095689F">
              <w:rPr>
                <w:rFonts w:ascii="Calibri" w:hAnsi="Calibri"/>
              </w:rPr>
              <w:t xml:space="preserve">). </w:t>
            </w:r>
            <w:r w:rsidR="0095689F" w:rsidRPr="0095689F">
              <w:t>Ces compétences seront évaluées en fonction des deux stages hospitaliers et de leurs spécificités, </w:t>
            </w:r>
          </w:p>
          <w:p w14:paraId="0575E157" w14:textId="14DB7FAD" w:rsidR="008B7665" w:rsidRPr="0095689F" w:rsidRDefault="009063F8" w:rsidP="0095689F">
            <w:pPr>
              <w:pStyle w:val="Paragraphedeliste"/>
              <w:numPr>
                <w:ilvl w:val="0"/>
                <w:numId w:val="10"/>
              </w:numPr>
              <w:jc w:val="both"/>
              <w:rPr>
                <w:rFonts w:ascii="Calibri" w:hAnsi="Calibri"/>
              </w:rPr>
            </w:pPr>
            <w:r w:rsidRPr="0095689F">
              <w:rPr>
                <w:rFonts w:ascii="Calibri" w:hAnsi="Calibri"/>
              </w:rPr>
              <w:t>et décrite dans</w:t>
            </w:r>
            <w:r w:rsidR="00906CC3" w:rsidRPr="0095689F">
              <w:rPr>
                <w:rFonts w:ascii="Calibri" w:hAnsi="Calibri"/>
              </w:rPr>
              <w:t xml:space="preserve"> le référentiel métier </w:t>
            </w:r>
            <w:r w:rsidR="008B7665" w:rsidRPr="0095689F">
              <w:rPr>
                <w:rFonts w:ascii="Calibri" w:hAnsi="Calibri"/>
              </w:rPr>
              <w:t>dans les sous chapitre des 6 situations cliniques :</w:t>
            </w:r>
          </w:p>
          <w:p w14:paraId="16527211" w14:textId="77777777" w:rsidR="008B7665" w:rsidRPr="00606C02" w:rsidRDefault="008B7665" w:rsidP="008B7665">
            <w:pPr>
              <w:pStyle w:val="Paragraphedeliste"/>
              <w:numPr>
                <w:ilvl w:val="5"/>
                <w:numId w:val="5"/>
              </w:numPr>
              <w:jc w:val="both"/>
              <w:rPr>
                <w:rFonts w:ascii="Calibri" w:hAnsi="Calibri"/>
              </w:rPr>
            </w:pPr>
            <w:r w:rsidRPr="00606C02">
              <w:rPr>
                <w:rFonts w:ascii="Calibri" w:hAnsi="Calibri"/>
              </w:rPr>
              <w:t>Réaliser un diagnostic</w:t>
            </w:r>
          </w:p>
          <w:p w14:paraId="791D10C1" w14:textId="77777777" w:rsidR="008B7665" w:rsidRDefault="008B7665" w:rsidP="008B7665">
            <w:pPr>
              <w:pStyle w:val="Paragraphedeliste"/>
              <w:numPr>
                <w:ilvl w:val="5"/>
                <w:numId w:val="5"/>
              </w:numPr>
              <w:jc w:val="both"/>
              <w:rPr>
                <w:rFonts w:ascii="Calibri" w:hAnsi="Calibri"/>
              </w:rPr>
            </w:pPr>
            <w:r w:rsidRPr="00606C02">
              <w:rPr>
                <w:rFonts w:ascii="Calibri" w:hAnsi="Calibri"/>
              </w:rPr>
              <w:t>Décider de l’indication et d’une stratégie thérapeutique</w:t>
            </w:r>
          </w:p>
          <w:p w14:paraId="4F34B9D9" w14:textId="6B18A3A9" w:rsidR="00906CC3" w:rsidRPr="008B7665" w:rsidRDefault="008B7665" w:rsidP="008B7665">
            <w:pPr>
              <w:pStyle w:val="Paragraphedeliste"/>
              <w:numPr>
                <w:ilvl w:val="5"/>
                <w:numId w:val="5"/>
              </w:numPr>
              <w:jc w:val="both"/>
              <w:rPr>
                <w:rFonts w:ascii="Calibri" w:hAnsi="Calibri"/>
              </w:rPr>
            </w:pPr>
            <w:r w:rsidRPr="008B7665">
              <w:rPr>
                <w:rFonts w:ascii="Calibri" w:hAnsi="Calibri"/>
              </w:rPr>
              <w:t>Effectuer un suivi post opératoire immédiat</w:t>
            </w:r>
          </w:p>
          <w:p w14:paraId="508A0E37" w14:textId="0BEFB16A" w:rsidR="008B7665" w:rsidRPr="008B7665" w:rsidRDefault="00906CC3" w:rsidP="008B7665">
            <w:pPr>
              <w:jc w:val="both"/>
              <w:rPr>
                <w:rFonts w:ascii="Calibri" w:hAnsi="Calibri"/>
              </w:rPr>
            </w:pPr>
            <w:r w:rsidRPr="008B7665">
              <w:rPr>
                <w:rFonts w:ascii="Calibri" w:hAnsi="Calibri"/>
              </w:rPr>
              <w:t>(http://web5.unilim.fr/colneuro-test/IMG/pdf_Referentiel_de_competences_neurochirugien_dif.pdf</w:t>
            </w:r>
            <w:r w:rsidR="009063F8" w:rsidRPr="008B7665">
              <w:rPr>
                <w:rFonts w:ascii="Calibri" w:hAnsi="Calibri"/>
              </w:rPr>
              <w:t xml:space="preserve">) </w:t>
            </w:r>
          </w:p>
          <w:p w14:paraId="51FA58F6" w14:textId="60C181B8" w:rsidR="00FE2438" w:rsidRPr="009063F8" w:rsidRDefault="00FE2438" w:rsidP="008B7665">
            <w:pPr>
              <w:pStyle w:val="Paragraphedeliste"/>
              <w:ind w:left="4320"/>
              <w:jc w:val="both"/>
              <w:rPr>
                <w:rFonts w:ascii="Calibri" w:hAnsi="Calibri"/>
              </w:rPr>
            </w:pPr>
          </w:p>
        </w:tc>
      </w:tr>
      <w:tr w:rsidR="00FE2438" w:rsidRPr="008C5937" w14:paraId="01C05375" w14:textId="77777777" w:rsidTr="006D72F6">
        <w:trPr>
          <w:trHeight w:val="300"/>
        </w:trPr>
        <w:tc>
          <w:tcPr>
            <w:tcW w:w="0" w:type="auto"/>
            <w:shd w:val="clear" w:color="auto" w:fill="auto"/>
            <w:hideMark/>
          </w:tcPr>
          <w:p w14:paraId="34E9A088" w14:textId="77777777" w:rsidR="00FE2438" w:rsidRPr="008C5937" w:rsidRDefault="00FE2438" w:rsidP="006D72F6">
            <w:pPr>
              <w:rPr>
                <w:b/>
                <w:bCs/>
              </w:rPr>
            </w:pPr>
            <w:r w:rsidRPr="008C5937">
              <w:rPr>
                <w:b/>
                <w:bCs/>
              </w:rPr>
              <w:t>2.5. Evaluation</w:t>
            </w:r>
          </w:p>
        </w:tc>
      </w:tr>
      <w:tr w:rsidR="00FE2438" w:rsidRPr="008C5937" w14:paraId="7824BDBE" w14:textId="77777777" w:rsidTr="00FE2438">
        <w:trPr>
          <w:trHeight w:val="300"/>
        </w:trPr>
        <w:tc>
          <w:tcPr>
            <w:tcW w:w="0" w:type="auto"/>
            <w:hideMark/>
          </w:tcPr>
          <w:p w14:paraId="3B9FAFB6" w14:textId="7BAF8EE8" w:rsidR="008C5225" w:rsidRPr="00CC06B4" w:rsidRDefault="00FE2438" w:rsidP="00CC06B4">
            <w:pPr>
              <w:rPr>
                <w:b/>
                <w:bCs/>
              </w:rPr>
            </w:pPr>
            <w:r w:rsidRPr="008C5937">
              <w:rPr>
                <w:b/>
                <w:bCs/>
                <w:i/>
                <w:iCs/>
              </w:rPr>
              <w:t>Modalités de l'évaluation des connaissances :</w:t>
            </w:r>
            <w:r w:rsidRPr="008C5937">
              <w:rPr>
                <w:b/>
                <w:bCs/>
              </w:rPr>
              <w:t xml:space="preserve"> </w:t>
            </w:r>
            <w:r w:rsidR="009063F8" w:rsidRPr="00CC5045">
              <w:rPr>
                <w:rFonts w:ascii="Calibri" w:hAnsi="Calibri"/>
                <w:i/>
              </w:rPr>
              <w:t xml:space="preserve">L’évaluation formative </w:t>
            </w:r>
            <w:r w:rsidR="009063F8">
              <w:rPr>
                <w:rFonts w:ascii="Calibri" w:hAnsi="Calibri"/>
                <w:i/>
              </w:rPr>
              <w:t xml:space="preserve">des connaissances de base de la spécialité </w:t>
            </w:r>
            <w:r w:rsidR="009063F8" w:rsidRPr="00CC5045">
              <w:rPr>
                <w:rFonts w:ascii="Calibri" w:hAnsi="Calibri"/>
                <w:i/>
              </w:rPr>
              <w:t>se fera</w:t>
            </w:r>
            <w:r w:rsidR="009063F8">
              <w:rPr>
                <w:rFonts w:ascii="Calibri" w:hAnsi="Calibri"/>
                <w:i/>
              </w:rPr>
              <w:t xml:space="preserve"> en</w:t>
            </w:r>
            <w:r w:rsidR="009063F8" w:rsidRPr="00CC5045">
              <w:rPr>
                <w:rFonts w:ascii="Calibri" w:hAnsi="Calibri"/>
                <w:i/>
              </w:rPr>
              <w:t xml:space="preserve"> inter-région</w:t>
            </w:r>
            <w:r w:rsidR="009063F8">
              <w:rPr>
                <w:rFonts w:ascii="Calibri" w:hAnsi="Calibri"/>
                <w:i/>
              </w:rPr>
              <w:t xml:space="preserve"> par la commission interrégionale</w:t>
            </w:r>
            <w:r w:rsidR="009063F8" w:rsidRPr="00CC5045">
              <w:rPr>
                <w:rFonts w:ascii="Calibri" w:hAnsi="Calibri"/>
                <w:i/>
              </w:rPr>
              <w:t xml:space="preserve"> (par visioconférence éventuellement)</w:t>
            </w:r>
            <w:r w:rsidR="009063F8">
              <w:rPr>
                <w:rFonts w:ascii="Calibri" w:hAnsi="Calibri"/>
                <w:i/>
              </w:rPr>
              <w:t xml:space="preserve">. L’évaluation des UE initiales des 10 domaines de la neurochirurgie se </w:t>
            </w:r>
            <w:r w:rsidR="00CC06B4">
              <w:rPr>
                <w:rFonts w:ascii="Calibri" w:hAnsi="Calibri"/>
                <w:i/>
              </w:rPr>
              <w:t>fera en ligne par une évaluation prévue en fin d’enseignement e-learning</w:t>
            </w:r>
          </w:p>
        </w:tc>
      </w:tr>
      <w:tr w:rsidR="00FE2438" w:rsidRPr="008C5937" w14:paraId="3195FF54" w14:textId="77777777" w:rsidTr="00FE2438">
        <w:trPr>
          <w:trHeight w:val="300"/>
        </w:trPr>
        <w:tc>
          <w:tcPr>
            <w:tcW w:w="0" w:type="auto"/>
            <w:hideMark/>
          </w:tcPr>
          <w:p w14:paraId="182A80A5" w14:textId="190A535E" w:rsidR="008C5225" w:rsidRPr="00CC06B4" w:rsidRDefault="00FE2438" w:rsidP="00CC06B4">
            <w:pPr>
              <w:ind w:hanging="3"/>
              <w:jc w:val="both"/>
              <w:rPr>
                <w:rFonts w:ascii="Calibri" w:hAnsi="Calibri"/>
                <w:i/>
              </w:rPr>
            </w:pPr>
            <w:r w:rsidRPr="008C5937">
              <w:rPr>
                <w:b/>
                <w:bCs/>
                <w:i/>
                <w:iCs/>
              </w:rPr>
              <w:lastRenderedPageBreak/>
              <w:t xml:space="preserve">Modalités de l'évaluation des compétences : </w:t>
            </w:r>
            <w:r w:rsidR="009063F8">
              <w:rPr>
                <w:rFonts w:ascii="Calibri" w:hAnsi="Calibri"/>
                <w:i/>
              </w:rPr>
              <w:t>L’évaluation des compétences se fera par autoévaluation sur un portefeuille numériqu</w:t>
            </w:r>
            <w:r w:rsidR="00CC06B4">
              <w:rPr>
                <w:rFonts w:ascii="Calibri" w:hAnsi="Calibri"/>
                <w:i/>
              </w:rPr>
              <w:t>e (e-carnet)</w:t>
            </w:r>
            <w:r w:rsidR="009063F8">
              <w:rPr>
                <w:rFonts w:ascii="Calibri" w:hAnsi="Calibri"/>
                <w:i/>
              </w:rPr>
              <w:t xml:space="preserve">  certifié par le coordonnateur ou le tuteur</w:t>
            </w:r>
          </w:p>
        </w:tc>
      </w:tr>
      <w:tr w:rsidR="00FE2438" w:rsidRPr="008C5937" w14:paraId="2265D0C2" w14:textId="77777777" w:rsidTr="006D72F6">
        <w:trPr>
          <w:trHeight w:val="300"/>
        </w:trPr>
        <w:tc>
          <w:tcPr>
            <w:tcW w:w="0" w:type="auto"/>
            <w:shd w:val="clear" w:color="auto" w:fill="auto"/>
            <w:hideMark/>
          </w:tcPr>
          <w:p w14:paraId="2202875A" w14:textId="77777777" w:rsidR="00FE2438" w:rsidRDefault="00057452" w:rsidP="00057452">
            <w:pPr>
              <w:rPr>
                <w:b/>
                <w:bCs/>
                <w:iCs/>
              </w:rPr>
            </w:pPr>
            <w:r>
              <w:rPr>
                <w:b/>
                <w:bCs/>
              </w:rPr>
              <w:t>2.6. Modalités de v</w:t>
            </w:r>
            <w:r w:rsidR="00FE2438" w:rsidRPr="008C5937">
              <w:rPr>
                <w:b/>
                <w:bCs/>
              </w:rPr>
              <w:t xml:space="preserve">alidation de la phase </w:t>
            </w:r>
            <w:r w:rsidRPr="00057452">
              <w:rPr>
                <w:b/>
                <w:bCs/>
              </w:rPr>
              <w:t xml:space="preserve">et </w:t>
            </w:r>
            <w:r w:rsidRPr="00057452">
              <w:rPr>
                <w:b/>
                <w:bCs/>
                <w:iCs/>
              </w:rPr>
              <w:t>de mise en place du plan de formation</w:t>
            </w:r>
          </w:p>
          <w:p w14:paraId="4CA6EA3D" w14:textId="77777777" w:rsidR="00761C31" w:rsidRDefault="00CC06B4" w:rsidP="00CC06B4">
            <w:pPr>
              <w:rPr>
                <w:bCs/>
              </w:rPr>
            </w:pPr>
            <w:r>
              <w:rPr>
                <w:bCs/>
              </w:rPr>
              <w:t>La validation des compétences et des connaissances sera réalisée par le coordonnateur inter-régional sur avis du coordonnateur régional.  La validation d’une partie des compétences génériques et transversales  peut être repoussée à la phase d’approfondissement.</w:t>
            </w:r>
          </w:p>
          <w:p w14:paraId="6270F4A2" w14:textId="3B6706EE" w:rsidR="00CC06B4" w:rsidRPr="002C5B7E" w:rsidRDefault="00CC06B4" w:rsidP="002C5B7E">
            <w:pPr>
              <w:jc w:val="both"/>
              <w:rPr>
                <w:rFonts w:ascii="Calibri" w:hAnsi="Calibri"/>
              </w:rPr>
            </w:pPr>
            <w:r w:rsidRPr="0047431F">
              <w:rPr>
                <w:rFonts w:ascii="Calibri" w:hAnsi="Calibri"/>
              </w:rPr>
              <w:t xml:space="preserve">A l’issu de cette </w:t>
            </w:r>
            <w:r>
              <w:rPr>
                <w:rFonts w:ascii="Calibri" w:hAnsi="Calibri"/>
              </w:rPr>
              <w:t>première phase un contrat de formation est préparé dans un dialogue entre l’interne, le coordonnateur et l’équipe pédagogique. Ce contrat ouvre à l’étudiant l’accès à la formation de neurochirurgie générale. Un choix d’éventuelle option peut être proposé.</w:t>
            </w:r>
          </w:p>
        </w:tc>
      </w:tr>
      <w:tr w:rsidR="00FE2438" w:rsidRPr="008C5937" w14:paraId="1BA31CCF" w14:textId="77777777" w:rsidTr="00473B56">
        <w:trPr>
          <w:trHeight w:val="525"/>
        </w:trPr>
        <w:tc>
          <w:tcPr>
            <w:tcW w:w="0" w:type="auto"/>
            <w:shd w:val="clear" w:color="auto" w:fill="D9D9D9" w:themeFill="background1" w:themeFillShade="D9"/>
            <w:vAlign w:val="center"/>
            <w:hideMark/>
          </w:tcPr>
          <w:p w14:paraId="59548C9C" w14:textId="77777777" w:rsidR="00FE2438" w:rsidRPr="008C5937" w:rsidRDefault="00FE2438" w:rsidP="00473B56">
            <w:pPr>
              <w:jc w:val="center"/>
              <w:rPr>
                <w:b/>
                <w:bCs/>
              </w:rPr>
            </w:pPr>
            <w:r w:rsidRPr="008C5937">
              <w:rPr>
                <w:b/>
                <w:bCs/>
              </w:rPr>
              <w:t>3. Phase d'approfondissement</w:t>
            </w:r>
          </w:p>
        </w:tc>
      </w:tr>
      <w:tr w:rsidR="00FE2438" w:rsidRPr="008C5937" w14:paraId="790B9E76" w14:textId="77777777" w:rsidTr="00FE2438">
        <w:trPr>
          <w:trHeight w:val="300"/>
        </w:trPr>
        <w:tc>
          <w:tcPr>
            <w:tcW w:w="0" w:type="auto"/>
            <w:hideMark/>
          </w:tcPr>
          <w:p w14:paraId="7C0F7BC1" w14:textId="7C4796C9" w:rsidR="00FE2438" w:rsidRPr="008C5937" w:rsidRDefault="00FE2438" w:rsidP="00CC06B4">
            <w:pPr>
              <w:rPr>
                <w:b/>
                <w:bCs/>
              </w:rPr>
            </w:pPr>
            <w:r w:rsidRPr="008C5937">
              <w:rPr>
                <w:b/>
                <w:bCs/>
              </w:rPr>
              <w:t>3.1. Durée</w:t>
            </w:r>
            <w:r w:rsidR="00CC06B4">
              <w:rPr>
                <w:b/>
                <w:bCs/>
              </w:rPr>
              <w:t xml:space="preserve"> : </w:t>
            </w:r>
            <w:r w:rsidR="00CC06B4">
              <w:t>six</w:t>
            </w:r>
            <w:r w:rsidRPr="008C5937">
              <w:t xml:space="preserve"> semestres</w:t>
            </w:r>
          </w:p>
        </w:tc>
      </w:tr>
      <w:tr w:rsidR="00FE2438" w:rsidRPr="008C5937" w14:paraId="7F9B8BD2" w14:textId="77777777" w:rsidTr="006D72F6">
        <w:trPr>
          <w:trHeight w:val="300"/>
        </w:trPr>
        <w:tc>
          <w:tcPr>
            <w:tcW w:w="0" w:type="auto"/>
            <w:shd w:val="clear" w:color="auto" w:fill="auto"/>
            <w:hideMark/>
          </w:tcPr>
          <w:p w14:paraId="4DCAFEBE" w14:textId="77777777" w:rsidR="00FE2438" w:rsidRPr="008C5937" w:rsidRDefault="00FE2438">
            <w:pPr>
              <w:rPr>
                <w:b/>
                <w:bCs/>
              </w:rPr>
            </w:pPr>
            <w:r w:rsidRPr="008C5937">
              <w:rPr>
                <w:b/>
                <w:bCs/>
              </w:rPr>
              <w:t>3.2. Enseignements hors stages</w:t>
            </w:r>
          </w:p>
        </w:tc>
      </w:tr>
      <w:tr w:rsidR="00FE2438" w:rsidRPr="008C5937" w14:paraId="7FEC5CA2" w14:textId="77777777" w:rsidTr="00FE2438">
        <w:trPr>
          <w:trHeight w:val="300"/>
        </w:trPr>
        <w:tc>
          <w:tcPr>
            <w:tcW w:w="0" w:type="auto"/>
            <w:hideMark/>
          </w:tcPr>
          <w:p w14:paraId="50E1C26B" w14:textId="7A81B179" w:rsidR="00473B56" w:rsidRPr="008C5937" w:rsidRDefault="00FE2438" w:rsidP="002C5B7E">
            <w:pPr>
              <w:jc w:val="both"/>
            </w:pPr>
            <w:r w:rsidRPr="008C5937">
              <w:rPr>
                <w:b/>
                <w:bCs/>
                <w:i/>
                <w:iCs/>
              </w:rPr>
              <w:t>Volume horaire :</w:t>
            </w:r>
            <w:r w:rsidRPr="008C5937">
              <w:t xml:space="preserve"> </w:t>
            </w:r>
            <w:r w:rsidR="00CC06B4">
              <w:t>300h par an</w:t>
            </w:r>
          </w:p>
        </w:tc>
      </w:tr>
      <w:tr w:rsidR="00FE2438" w:rsidRPr="008C5937" w14:paraId="6CF1CAD2" w14:textId="77777777" w:rsidTr="00FE2438">
        <w:trPr>
          <w:trHeight w:val="300"/>
        </w:trPr>
        <w:tc>
          <w:tcPr>
            <w:tcW w:w="0" w:type="auto"/>
            <w:hideMark/>
          </w:tcPr>
          <w:p w14:paraId="6B27C087" w14:textId="77777777" w:rsidR="008B7665" w:rsidRDefault="00FE2438" w:rsidP="002C5B7E">
            <w:r w:rsidRPr="008C5937">
              <w:rPr>
                <w:b/>
                <w:bCs/>
                <w:i/>
                <w:iCs/>
              </w:rPr>
              <w:t>Nature des enseignements :</w:t>
            </w:r>
            <w:r w:rsidRPr="008C5937">
              <w:t xml:space="preserve"> </w:t>
            </w:r>
          </w:p>
          <w:p w14:paraId="125F4BF6" w14:textId="6F11E0CB" w:rsidR="00473B56" w:rsidRPr="008C5937" w:rsidRDefault="00B75489" w:rsidP="002C5B7E">
            <w:r>
              <w:t>e-learning pour les UE, présentiel</w:t>
            </w:r>
            <w:r w:rsidR="002421AF">
              <w:t xml:space="preserve"> ou en différé (e-learning) pour les cours de la SFNC et les JNE</w:t>
            </w:r>
            <w:r w:rsidR="002C5B7E">
              <w:t>.</w:t>
            </w:r>
          </w:p>
        </w:tc>
      </w:tr>
      <w:tr w:rsidR="00FE2438" w:rsidRPr="008C5937" w14:paraId="7358ED1A" w14:textId="77777777" w:rsidTr="00FE2438">
        <w:trPr>
          <w:trHeight w:val="300"/>
        </w:trPr>
        <w:tc>
          <w:tcPr>
            <w:tcW w:w="0" w:type="auto"/>
            <w:hideMark/>
          </w:tcPr>
          <w:p w14:paraId="12FECBCF" w14:textId="77777777" w:rsidR="00F92639" w:rsidRDefault="00FE2438">
            <w:pPr>
              <w:rPr>
                <w:b/>
                <w:bCs/>
                <w:i/>
                <w:iCs/>
              </w:rPr>
            </w:pPr>
            <w:r w:rsidRPr="008C5937">
              <w:rPr>
                <w:b/>
                <w:bCs/>
                <w:i/>
                <w:iCs/>
              </w:rPr>
              <w:t xml:space="preserve">Connaissances à acquérir : </w:t>
            </w:r>
          </w:p>
          <w:p w14:paraId="53DD7EDE" w14:textId="347DD31C" w:rsidR="0063600C" w:rsidRPr="00B75489" w:rsidRDefault="00B75489" w:rsidP="00B75489">
            <w:pPr>
              <w:jc w:val="both"/>
              <w:rPr>
                <w:rFonts w:ascii="Calibri" w:hAnsi="Calibri"/>
              </w:rPr>
            </w:pPr>
            <w:r w:rsidRPr="00B75489">
              <w:rPr>
                <w:rFonts w:ascii="Calibri" w:hAnsi="Calibri"/>
              </w:rPr>
              <w:t>les étudiants devront suivre la totalité des UE des 10 domaines de la neurochi</w:t>
            </w:r>
            <w:r>
              <w:rPr>
                <w:rFonts w:ascii="Calibri" w:hAnsi="Calibri"/>
              </w:rPr>
              <w:t>rurgie organisée en e-learning, p</w:t>
            </w:r>
            <w:r w:rsidR="00C737E3">
              <w:rPr>
                <w:rFonts w:ascii="Calibri" w:hAnsi="Calibri"/>
              </w:rPr>
              <w:t>articiper aux  Journées Nationales d’E</w:t>
            </w:r>
            <w:r w:rsidRPr="00B75489">
              <w:rPr>
                <w:rFonts w:ascii="Calibri" w:hAnsi="Calibri"/>
              </w:rPr>
              <w:t xml:space="preserve">nseignement, à l’enseignement </w:t>
            </w:r>
            <w:r w:rsidR="002421AF" w:rsidRPr="00B75489">
              <w:rPr>
                <w:rFonts w:ascii="Calibri" w:hAnsi="Calibri"/>
              </w:rPr>
              <w:t>i</w:t>
            </w:r>
            <w:r w:rsidR="00C737E3">
              <w:rPr>
                <w:rFonts w:ascii="Calibri" w:hAnsi="Calibri"/>
              </w:rPr>
              <w:t>nter-régional, aux cours de la Société Française de N</w:t>
            </w:r>
            <w:r w:rsidR="002421AF" w:rsidRPr="00B75489">
              <w:rPr>
                <w:rFonts w:ascii="Calibri" w:hAnsi="Calibri"/>
              </w:rPr>
              <w:t>eurochirurgie</w:t>
            </w:r>
          </w:p>
        </w:tc>
      </w:tr>
      <w:tr w:rsidR="00FE2438" w:rsidRPr="008C5937" w14:paraId="7B34CD84" w14:textId="77777777" w:rsidTr="006D72F6">
        <w:trPr>
          <w:trHeight w:val="300"/>
        </w:trPr>
        <w:tc>
          <w:tcPr>
            <w:tcW w:w="0" w:type="auto"/>
            <w:shd w:val="clear" w:color="auto" w:fill="auto"/>
            <w:hideMark/>
          </w:tcPr>
          <w:p w14:paraId="358CF236" w14:textId="77777777" w:rsidR="00FE2438" w:rsidRPr="008C5937" w:rsidRDefault="00FE2438">
            <w:pPr>
              <w:rPr>
                <w:b/>
                <w:bCs/>
              </w:rPr>
            </w:pPr>
            <w:r w:rsidRPr="008C5937">
              <w:rPr>
                <w:b/>
                <w:bCs/>
              </w:rPr>
              <w:t>3.3. Stages</w:t>
            </w:r>
          </w:p>
        </w:tc>
      </w:tr>
      <w:tr w:rsidR="00FE2438" w:rsidRPr="008C5937" w14:paraId="01A5A72D" w14:textId="77777777" w:rsidTr="00FE2438">
        <w:trPr>
          <w:trHeight w:val="300"/>
        </w:trPr>
        <w:tc>
          <w:tcPr>
            <w:tcW w:w="0" w:type="auto"/>
            <w:hideMark/>
          </w:tcPr>
          <w:p w14:paraId="49EBB43F" w14:textId="5F878A51" w:rsidR="00B75489" w:rsidRPr="002421AF" w:rsidRDefault="00FE2438" w:rsidP="002421AF">
            <w:pPr>
              <w:jc w:val="both"/>
              <w:rPr>
                <w:rFonts w:ascii="Calibri" w:hAnsi="Calibri"/>
                <w:u w:val="single"/>
              </w:rPr>
            </w:pPr>
            <w:r w:rsidRPr="002421AF">
              <w:rPr>
                <w:b/>
                <w:bCs/>
                <w:i/>
                <w:iCs/>
              </w:rPr>
              <w:t>Stages de niveau II à réaliser dans la spécialité :</w:t>
            </w:r>
            <w:r w:rsidRPr="008C5937">
              <w:t xml:space="preserve"> </w:t>
            </w:r>
            <w:r w:rsidR="00B75489" w:rsidRPr="002421AF">
              <w:rPr>
                <w:rFonts w:ascii="Calibri" w:hAnsi="Calibri"/>
              </w:rPr>
              <w:t xml:space="preserve">3 stages dans la spécialité, 3 stages libres </w:t>
            </w:r>
            <w:commentRangeStart w:id="1"/>
            <w:r w:rsidR="00B75489" w:rsidRPr="002421AF">
              <w:rPr>
                <w:rFonts w:ascii="Calibri" w:hAnsi="Calibri"/>
              </w:rPr>
              <w:t>dont un stage inter CHU</w:t>
            </w:r>
            <w:commentRangeEnd w:id="1"/>
            <w:r w:rsidR="00C737E3">
              <w:rPr>
                <w:rStyle w:val="Marquedecommentaire"/>
              </w:rPr>
              <w:commentReference w:id="1"/>
            </w:r>
            <w:r w:rsidR="00B75489" w:rsidRPr="002421AF">
              <w:rPr>
                <w:rFonts w:ascii="Calibri" w:hAnsi="Calibri"/>
              </w:rPr>
              <w:t>. Pas de stage obligatoire dans d’autres spécialités sauf lors d’une formation spécialisée transversale ou d’une option Le choix des stages</w:t>
            </w:r>
            <w:r w:rsidR="00C737E3">
              <w:rPr>
                <w:rFonts w:ascii="Calibri" w:hAnsi="Calibri"/>
              </w:rPr>
              <w:t xml:space="preserve"> notamment des stages libres</w:t>
            </w:r>
            <w:r w:rsidR="00B75489" w:rsidRPr="002421AF">
              <w:rPr>
                <w:rFonts w:ascii="Calibri" w:hAnsi="Calibri"/>
              </w:rPr>
              <w:t xml:space="preserve"> devra se faire en dialogue avec le coordonnateur régional et en fonction du contrat de formation.</w:t>
            </w:r>
          </w:p>
          <w:p w14:paraId="7E7C4D12" w14:textId="3D249A2F" w:rsidR="00FE2438" w:rsidRPr="002421AF" w:rsidRDefault="00B75489" w:rsidP="002421AF">
            <w:pPr>
              <w:jc w:val="both"/>
              <w:rPr>
                <w:rFonts w:ascii="Calibri" w:hAnsi="Calibri"/>
                <w:u w:val="single"/>
              </w:rPr>
            </w:pPr>
            <w:r w:rsidRPr="002421AF">
              <w:rPr>
                <w:rFonts w:ascii="Calibri" w:hAnsi="Calibri"/>
              </w:rPr>
              <w:t>C’est à ce stade que peut se placer l’année recherche. La spécialité de Neurochirurgie se pratique pour 80% des cas en milieu hospitalo-universitaire, ce qui fait qu’un nombre important d’internes va passer un master 2. Cette année recherche se rajoute au temps de 6 semestres de la phase d’approfondissement.</w:t>
            </w:r>
          </w:p>
        </w:tc>
      </w:tr>
      <w:tr w:rsidR="00FE2438" w:rsidRPr="008C5937" w14:paraId="558DC930" w14:textId="77777777" w:rsidTr="00FE2438">
        <w:trPr>
          <w:trHeight w:val="300"/>
        </w:trPr>
        <w:tc>
          <w:tcPr>
            <w:tcW w:w="0" w:type="auto"/>
            <w:hideMark/>
          </w:tcPr>
          <w:p w14:paraId="02B42F78" w14:textId="7B344CBE" w:rsidR="00FE2438" w:rsidRPr="002C5B7E" w:rsidRDefault="00FE2438" w:rsidP="002C5B7E">
            <w:pPr>
              <w:rPr>
                <w:b/>
                <w:bCs/>
                <w:i/>
                <w:iCs/>
              </w:rPr>
            </w:pPr>
            <w:r w:rsidRPr="008C5937">
              <w:rPr>
                <w:b/>
                <w:bCs/>
                <w:i/>
                <w:iCs/>
              </w:rPr>
              <w:t xml:space="preserve">Stages à réaliser dans d'autres spécialités : </w:t>
            </w:r>
            <w:r w:rsidR="00B75489" w:rsidRPr="00B75489">
              <w:rPr>
                <w:bCs/>
                <w:iCs/>
              </w:rPr>
              <w:t>Aucun n’est obligatoire sauf FST ou options</w:t>
            </w:r>
          </w:p>
        </w:tc>
      </w:tr>
      <w:tr w:rsidR="00FE2438" w:rsidRPr="008C5937" w14:paraId="4B2A5183" w14:textId="77777777" w:rsidTr="00FE2438">
        <w:trPr>
          <w:trHeight w:val="300"/>
        </w:trPr>
        <w:tc>
          <w:tcPr>
            <w:tcW w:w="0" w:type="auto"/>
            <w:hideMark/>
          </w:tcPr>
          <w:p w14:paraId="3BF899A0" w14:textId="20710365" w:rsidR="00FE2438" w:rsidRPr="002C5B7E" w:rsidRDefault="00FE2438" w:rsidP="002C5B7E">
            <w:pPr>
              <w:rPr>
                <w:b/>
                <w:bCs/>
              </w:rPr>
            </w:pPr>
            <w:r w:rsidRPr="008C5937">
              <w:rPr>
                <w:b/>
                <w:bCs/>
                <w:i/>
                <w:iCs/>
              </w:rPr>
              <w:t>Nombre de stages libres :</w:t>
            </w:r>
            <w:r w:rsidRPr="008C5937">
              <w:rPr>
                <w:b/>
                <w:bCs/>
              </w:rPr>
              <w:t xml:space="preserve"> </w:t>
            </w:r>
            <w:r w:rsidR="00B75489" w:rsidRPr="00B75489">
              <w:rPr>
                <w:bCs/>
              </w:rPr>
              <w:t>3</w:t>
            </w:r>
          </w:p>
        </w:tc>
      </w:tr>
      <w:tr w:rsidR="00FE2438" w:rsidRPr="008C5937" w14:paraId="7F4930F4" w14:textId="77777777" w:rsidTr="00FE2438">
        <w:trPr>
          <w:trHeight w:val="300"/>
        </w:trPr>
        <w:tc>
          <w:tcPr>
            <w:tcW w:w="0" w:type="auto"/>
            <w:hideMark/>
          </w:tcPr>
          <w:p w14:paraId="5F10CA80" w14:textId="3B48DC62" w:rsidR="00B75489" w:rsidRDefault="00FE2438" w:rsidP="00B75489">
            <w:r w:rsidRPr="008C5937">
              <w:rPr>
                <w:b/>
                <w:bCs/>
                <w:i/>
                <w:iCs/>
              </w:rPr>
              <w:t>Critères d'agrément des stages de niveau II dans la spécialité :</w:t>
            </w:r>
            <w:r w:rsidRPr="008C5937">
              <w:rPr>
                <w:b/>
                <w:bCs/>
              </w:rPr>
              <w:t xml:space="preserve"> </w:t>
            </w:r>
            <w:r w:rsidR="00B75489" w:rsidRPr="00B75489">
              <w:rPr>
                <w:bCs/>
              </w:rPr>
              <w:t>En CHU</w:t>
            </w:r>
            <w:r w:rsidR="00B75489">
              <w:rPr>
                <w:b/>
                <w:bCs/>
              </w:rPr>
              <w:t xml:space="preserve"> </w:t>
            </w:r>
            <w:r w:rsidR="00B75489">
              <w:t>supervision directe, fort niveau d’encadrement</w:t>
            </w:r>
            <w:r w:rsidR="002421AF">
              <w:t xml:space="preserve">. </w:t>
            </w:r>
            <w:r w:rsidR="00B75489">
              <w:t>Situation</w:t>
            </w:r>
            <w:r w:rsidR="002421AF">
              <w:t>s</w:t>
            </w:r>
            <w:r w:rsidR="00B75489">
              <w:t xml:space="preserve"> pathologique</w:t>
            </w:r>
            <w:r w:rsidR="002421AF">
              <w:t>s</w:t>
            </w:r>
            <w:r w:rsidR="00B75489">
              <w:t xml:space="preserve"> fréquente</w:t>
            </w:r>
            <w:r w:rsidR="002421AF">
              <w:t>s,</w:t>
            </w:r>
            <w:r w:rsidR="00B75489">
              <w:t xml:space="preserve"> urgences, pathologies plus complexes que le niveau 1</w:t>
            </w:r>
          </w:p>
          <w:p w14:paraId="7A790C85" w14:textId="77777777" w:rsidR="00B75489" w:rsidRDefault="00B75489" w:rsidP="00B75489">
            <w:r>
              <w:t>Enseignement spécifique sur le terrain de stage (RCP, biblio…)</w:t>
            </w:r>
          </w:p>
          <w:p w14:paraId="78D0DA07" w14:textId="2A9C0299" w:rsidR="00473B56" w:rsidRPr="002C5B7E" w:rsidRDefault="002421AF" w:rsidP="00B75489">
            <w:r>
              <w:t>Formation à</w:t>
            </w:r>
            <w:r w:rsidR="00B75489">
              <w:t xml:space="preserve"> une activité de recherche clinique</w:t>
            </w:r>
          </w:p>
        </w:tc>
      </w:tr>
      <w:tr w:rsidR="00FE2438" w:rsidRPr="008C5937" w14:paraId="229197E8" w14:textId="77777777" w:rsidTr="006D72F6">
        <w:trPr>
          <w:trHeight w:val="300"/>
        </w:trPr>
        <w:tc>
          <w:tcPr>
            <w:tcW w:w="0" w:type="auto"/>
            <w:shd w:val="clear" w:color="auto" w:fill="auto"/>
            <w:hideMark/>
          </w:tcPr>
          <w:p w14:paraId="35E80EEE" w14:textId="77777777" w:rsidR="00FE2438" w:rsidRPr="008C5937" w:rsidRDefault="00FE2438" w:rsidP="00F92639">
            <w:pPr>
              <w:rPr>
                <w:b/>
                <w:bCs/>
              </w:rPr>
            </w:pPr>
            <w:r w:rsidRPr="008C5937">
              <w:rPr>
                <w:b/>
                <w:bCs/>
              </w:rPr>
              <w:t xml:space="preserve">3.4. </w:t>
            </w:r>
            <w:r w:rsidR="00F92639">
              <w:rPr>
                <w:b/>
                <w:bCs/>
              </w:rPr>
              <w:t>Compétences</w:t>
            </w:r>
          </w:p>
        </w:tc>
      </w:tr>
      <w:tr w:rsidR="00FE2438" w:rsidRPr="008C5937" w14:paraId="237E609E" w14:textId="77777777" w:rsidTr="00FE2438">
        <w:trPr>
          <w:trHeight w:val="300"/>
        </w:trPr>
        <w:tc>
          <w:tcPr>
            <w:tcW w:w="0" w:type="auto"/>
            <w:hideMark/>
          </w:tcPr>
          <w:p w14:paraId="7307E884" w14:textId="77777777" w:rsidR="003A2C0E" w:rsidRDefault="00FE2438" w:rsidP="003A2C0E">
            <w:pPr>
              <w:rPr>
                <w:b/>
                <w:bCs/>
              </w:rPr>
            </w:pPr>
            <w:r w:rsidRPr="008C5937">
              <w:rPr>
                <w:b/>
                <w:bCs/>
                <w:i/>
                <w:iCs/>
              </w:rPr>
              <w:t>Compétences à acquérir :</w:t>
            </w:r>
            <w:r w:rsidRPr="008C5937">
              <w:rPr>
                <w:b/>
                <w:bCs/>
              </w:rPr>
              <w:t xml:space="preserve"> </w:t>
            </w:r>
          </w:p>
          <w:p w14:paraId="18CFFBD7" w14:textId="77777777" w:rsidR="008B7665" w:rsidRDefault="002C5B7E" w:rsidP="008B7665">
            <w:pPr>
              <w:jc w:val="both"/>
              <w:rPr>
                <w:rFonts w:ascii="Calibri" w:hAnsi="Calibri"/>
              </w:rPr>
            </w:pPr>
            <w:r w:rsidRPr="00C13FEB">
              <w:rPr>
                <w:rFonts w:ascii="Calibri" w:hAnsi="Calibri"/>
              </w:rPr>
              <w:t xml:space="preserve">les compétences </w:t>
            </w:r>
            <w:r>
              <w:rPr>
                <w:rFonts w:ascii="Calibri" w:hAnsi="Calibri"/>
              </w:rPr>
              <w:t xml:space="preserve">spécifiques </w:t>
            </w:r>
            <w:r w:rsidRPr="00C13FEB">
              <w:rPr>
                <w:rFonts w:ascii="Calibri" w:hAnsi="Calibri"/>
              </w:rPr>
              <w:t xml:space="preserve">acquises à la fin de la phase intermédiaire </w:t>
            </w:r>
            <w:r>
              <w:rPr>
                <w:rFonts w:ascii="Calibri" w:hAnsi="Calibri"/>
              </w:rPr>
              <w:t>dans la spécialité sont définies dans</w:t>
            </w:r>
            <w:r w:rsidR="008B7665">
              <w:rPr>
                <w:rFonts w:ascii="Calibri" w:hAnsi="Calibri"/>
              </w:rPr>
              <w:t xml:space="preserve"> le référentiel métier </w:t>
            </w:r>
          </w:p>
          <w:p w14:paraId="64E74F09" w14:textId="749AD926" w:rsidR="008B7665" w:rsidRPr="008B7665" w:rsidRDefault="008B7665" w:rsidP="008B7665">
            <w:pPr>
              <w:jc w:val="both"/>
              <w:rPr>
                <w:rFonts w:ascii="Calibri" w:hAnsi="Calibri"/>
              </w:rPr>
            </w:pPr>
            <w:r w:rsidRPr="008B7665">
              <w:rPr>
                <w:rFonts w:ascii="Calibri" w:hAnsi="Calibri"/>
              </w:rPr>
              <w:t xml:space="preserve">(http://web5.unilim.fr/colneuro-test/IMG/pdf_Referentiel_de_competences_neurochirugien_dif.pdf) </w:t>
            </w:r>
          </w:p>
          <w:p w14:paraId="509DD756" w14:textId="73897505" w:rsidR="002C5B7E" w:rsidRPr="008B7665" w:rsidRDefault="002C5B7E" w:rsidP="008B7665">
            <w:pPr>
              <w:jc w:val="both"/>
              <w:rPr>
                <w:rFonts w:ascii="Calibri" w:hAnsi="Calibri"/>
              </w:rPr>
            </w:pPr>
            <w:r w:rsidRPr="008B7665">
              <w:rPr>
                <w:rFonts w:ascii="Calibri" w:hAnsi="Calibri"/>
              </w:rPr>
              <w:t>vérifiées par l’analyse du cahier opératoire (e-carnet) et la participation aux ateliers pratiques validés par le collège de neurochirurgie.</w:t>
            </w:r>
          </w:p>
          <w:p w14:paraId="50B74FD4" w14:textId="7F38ED62" w:rsidR="003A2C0E" w:rsidRPr="008B7665" w:rsidRDefault="002C5B7E" w:rsidP="008B7665">
            <w:pPr>
              <w:jc w:val="both"/>
              <w:rPr>
                <w:rFonts w:ascii="Calibri" w:hAnsi="Calibri"/>
              </w:rPr>
            </w:pPr>
            <w:r w:rsidRPr="008B7665">
              <w:rPr>
                <w:rFonts w:ascii="Calibri" w:hAnsi="Calibri"/>
              </w:rPr>
              <w:t>Compétences génériques: L’étudiant doit finir d’acquérir ou perfectionner les 7 compétences génériques décrites dans le référentiel du deuxième cycle des études médicales acquises en phase socle (annexe 2).</w:t>
            </w:r>
            <w:r w:rsidRPr="008B7665" w:rsidDel="007A13F4">
              <w:rPr>
                <w:rFonts w:ascii="Calibri" w:hAnsi="Calibri"/>
                <w:color w:val="FF0000"/>
              </w:rPr>
              <w:t xml:space="preserve"> </w:t>
            </w:r>
          </w:p>
        </w:tc>
      </w:tr>
      <w:tr w:rsidR="00FE2438" w:rsidRPr="008C5937" w14:paraId="2C05FD49" w14:textId="77777777" w:rsidTr="006D72F6">
        <w:trPr>
          <w:trHeight w:val="345"/>
        </w:trPr>
        <w:tc>
          <w:tcPr>
            <w:tcW w:w="0" w:type="auto"/>
            <w:shd w:val="clear" w:color="auto" w:fill="auto"/>
            <w:hideMark/>
          </w:tcPr>
          <w:p w14:paraId="424D56C1" w14:textId="77777777" w:rsidR="00FE2438" w:rsidRPr="008C5937" w:rsidRDefault="00FE2438">
            <w:pPr>
              <w:rPr>
                <w:b/>
                <w:bCs/>
              </w:rPr>
            </w:pPr>
            <w:r w:rsidRPr="008C5937">
              <w:rPr>
                <w:b/>
                <w:bCs/>
              </w:rPr>
              <w:t>3.5. Evaluation</w:t>
            </w:r>
          </w:p>
        </w:tc>
      </w:tr>
      <w:tr w:rsidR="00FE2438" w:rsidRPr="008C5937" w14:paraId="71F60D51" w14:textId="77777777" w:rsidTr="00FE2438">
        <w:trPr>
          <w:trHeight w:val="300"/>
        </w:trPr>
        <w:tc>
          <w:tcPr>
            <w:tcW w:w="0" w:type="auto"/>
            <w:hideMark/>
          </w:tcPr>
          <w:p w14:paraId="173E373F" w14:textId="77777777" w:rsidR="00473B56" w:rsidRDefault="00FE2438" w:rsidP="003A2C0E">
            <w:r w:rsidRPr="008C5937">
              <w:rPr>
                <w:b/>
                <w:bCs/>
                <w:i/>
                <w:iCs/>
              </w:rPr>
              <w:t xml:space="preserve">Modalités de l'évaluation des connaissances </w:t>
            </w:r>
            <w:r w:rsidRPr="008C5937">
              <w:rPr>
                <w:b/>
                <w:bCs/>
              </w:rPr>
              <w:t>:</w:t>
            </w:r>
            <w:r w:rsidRPr="008C5937">
              <w:t xml:space="preserve"> </w:t>
            </w:r>
          </w:p>
          <w:p w14:paraId="3809FB2F" w14:textId="45F7CEF3" w:rsidR="003A2C0E" w:rsidRPr="003A2C0E" w:rsidRDefault="002C5B7E" w:rsidP="003A2C0E">
            <w:r>
              <w:t>e-learning</w:t>
            </w:r>
          </w:p>
        </w:tc>
      </w:tr>
      <w:tr w:rsidR="00FE2438" w:rsidRPr="008C5937" w14:paraId="0F329D12" w14:textId="77777777" w:rsidTr="00FE2438">
        <w:trPr>
          <w:trHeight w:val="300"/>
        </w:trPr>
        <w:tc>
          <w:tcPr>
            <w:tcW w:w="0" w:type="auto"/>
            <w:hideMark/>
          </w:tcPr>
          <w:p w14:paraId="2E7D91EF" w14:textId="77777777" w:rsidR="00473B56" w:rsidRDefault="00FE2438" w:rsidP="003A2C0E">
            <w:pPr>
              <w:rPr>
                <w:b/>
                <w:bCs/>
              </w:rPr>
            </w:pPr>
            <w:r w:rsidRPr="008C5937">
              <w:rPr>
                <w:b/>
                <w:bCs/>
                <w:i/>
                <w:iCs/>
              </w:rPr>
              <w:t>Modalités de l'évaluation des compétences :</w:t>
            </w:r>
            <w:r w:rsidRPr="008C5937">
              <w:rPr>
                <w:b/>
                <w:bCs/>
              </w:rPr>
              <w:t xml:space="preserve"> </w:t>
            </w:r>
          </w:p>
          <w:p w14:paraId="021F8B60" w14:textId="4ECB0DFA" w:rsidR="003A2C0E" w:rsidRPr="003A2C0E" w:rsidRDefault="002C5B7E" w:rsidP="003A2C0E">
            <w:pPr>
              <w:rPr>
                <w:bCs/>
              </w:rPr>
            </w:pPr>
            <w:r>
              <w:rPr>
                <w:bCs/>
              </w:rPr>
              <w:t>e-carnet</w:t>
            </w:r>
          </w:p>
        </w:tc>
      </w:tr>
      <w:tr w:rsidR="00FE2438" w:rsidRPr="008C5937" w14:paraId="091A543B" w14:textId="77777777" w:rsidTr="00C55879">
        <w:trPr>
          <w:trHeight w:val="300"/>
        </w:trPr>
        <w:tc>
          <w:tcPr>
            <w:tcW w:w="0" w:type="auto"/>
            <w:shd w:val="clear" w:color="auto" w:fill="FFFFFF" w:themeFill="background1"/>
            <w:hideMark/>
          </w:tcPr>
          <w:p w14:paraId="432CCC7D" w14:textId="2549A6E8" w:rsidR="002C5B7E" w:rsidRPr="002C5B7E" w:rsidRDefault="0023218E" w:rsidP="002C5B7E">
            <w:pPr>
              <w:shd w:val="clear" w:color="auto" w:fill="FFFFFF" w:themeFill="background1"/>
            </w:pPr>
            <w:r>
              <w:rPr>
                <w:b/>
                <w:bCs/>
                <w:shd w:val="clear" w:color="auto" w:fill="FFFFFF" w:themeFill="background1"/>
              </w:rPr>
              <w:t>3.6. Modalités de v</w:t>
            </w:r>
            <w:r w:rsidR="00FE2438" w:rsidRPr="00C55879">
              <w:rPr>
                <w:b/>
                <w:bCs/>
                <w:shd w:val="clear" w:color="auto" w:fill="FFFFFF" w:themeFill="background1"/>
              </w:rPr>
              <w:t>alidation de la phase</w:t>
            </w:r>
            <w:r w:rsidR="002C5B7E">
              <w:rPr>
                <w:shd w:val="clear" w:color="auto" w:fill="FFFFFF" w:themeFill="background1"/>
              </w:rPr>
              <w:t> </w:t>
            </w:r>
            <w:r w:rsidR="002C5B7E">
              <w:t xml:space="preserve">: </w:t>
            </w:r>
            <w:r w:rsidR="002C5B7E" w:rsidRPr="002C5B7E">
              <w:rPr>
                <w:rFonts w:ascii="Calibri" w:hAnsi="Calibri"/>
              </w:rPr>
              <w:t xml:space="preserve">La validation de la formation permettant l’accès à la phase de mise en situation comprend : </w:t>
            </w:r>
          </w:p>
          <w:p w14:paraId="28ADC1BC" w14:textId="77777777" w:rsidR="002C5B7E" w:rsidRDefault="002C5B7E" w:rsidP="002C5B7E">
            <w:pPr>
              <w:numPr>
                <w:ilvl w:val="0"/>
                <w:numId w:val="9"/>
              </w:numPr>
              <w:jc w:val="both"/>
            </w:pPr>
            <w:r>
              <w:t>La validation de la phase socle, et la réussite des évaluations des unités d’enseignements des 10 domaines de la neurochirurgie</w:t>
            </w:r>
          </w:p>
          <w:p w14:paraId="2CEE1979" w14:textId="77777777" w:rsidR="002C5B7E" w:rsidRPr="00EF045F" w:rsidRDefault="002C5B7E" w:rsidP="002C5B7E">
            <w:pPr>
              <w:numPr>
                <w:ilvl w:val="0"/>
                <w:numId w:val="9"/>
              </w:numPr>
              <w:jc w:val="both"/>
            </w:pPr>
            <w:r w:rsidRPr="00EF045F">
              <w:t xml:space="preserve">La validation de tous les stages prévus par la maquette </w:t>
            </w:r>
            <w:r>
              <w:t xml:space="preserve"> (2+6)</w:t>
            </w:r>
          </w:p>
          <w:p w14:paraId="4553F812" w14:textId="77777777" w:rsidR="002C5B7E" w:rsidRPr="00EF045F" w:rsidRDefault="002C5B7E" w:rsidP="002C5B7E">
            <w:pPr>
              <w:numPr>
                <w:ilvl w:val="0"/>
                <w:numId w:val="9"/>
              </w:numPr>
              <w:jc w:val="both"/>
            </w:pPr>
            <w:r w:rsidRPr="00EF045F">
              <w:lastRenderedPageBreak/>
              <w:t xml:space="preserve">Justifier d’une </w:t>
            </w:r>
            <w:r>
              <w:t>participation</w:t>
            </w:r>
            <w:r w:rsidRPr="00EF045F">
              <w:t xml:space="preserve"> à</w:t>
            </w:r>
          </w:p>
          <w:p w14:paraId="41609E76" w14:textId="087A75BB" w:rsidR="002C5B7E" w:rsidRPr="00EF045F" w:rsidRDefault="002C5B7E" w:rsidP="002C5B7E">
            <w:pPr>
              <w:numPr>
                <w:ilvl w:val="2"/>
                <w:numId w:val="9"/>
              </w:numPr>
              <w:jc w:val="both"/>
            </w:pPr>
            <w:r w:rsidRPr="00EF045F">
              <w:t>Au moins trois</w:t>
            </w:r>
            <w:r>
              <w:t xml:space="preserve"> sessions des</w:t>
            </w:r>
            <w:r w:rsidRPr="00EF045F">
              <w:t xml:space="preserve"> </w:t>
            </w:r>
            <w:r>
              <w:t>« Journées Nationale Enseignement » sanctionnées par une évaluation (en présentiel ou en e-learning)</w:t>
            </w:r>
          </w:p>
          <w:p w14:paraId="32ABD921" w14:textId="5D033457" w:rsidR="002C5B7E" w:rsidRPr="00EF045F" w:rsidRDefault="002C5B7E" w:rsidP="002C5B7E">
            <w:pPr>
              <w:numPr>
                <w:ilvl w:val="2"/>
                <w:numId w:val="9"/>
              </w:numPr>
              <w:jc w:val="both"/>
            </w:pPr>
            <w:r w:rsidRPr="00EF045F">
              <w:t xml:space="preserve">Au moins deux cours </w:t>
            </w:r>
            <w:r>
              <w:t>de la société française de neurochirurgie (en présentiel ou en e-learning)</w:t>
            </w:r>
          </w:p>
          <w:p w14:paraId="05B58CAD" w14:textId="77777777" w:rsidR="002C5B7E" w:rsidRPr="00EF045F" w:rsidRDefault="002C5B7E" w:rsidP="002C5B7E">
            <w:pPr>
              <w:numPr>
                <w:ilvl w:val="2"/>
                <w:numId w:val="9"/>
              </w:numPr>
              <w:jc w:val="both"/>
            </w:pPr>
            <w:r w:rsidRPr="00EF045F">
              <w:t xml:space="preserve">Au moins </w:t>
            </w:r>
            <w:r>
              <w:t>deux congrès de la SFNC..</w:t>
            </w:r>
          </w:p>
          <w:p w14:paraId="20E2797A" w14:textId="77777777" w:rsidR="002C5B7E" w:rsidRPr="00EF045F" w:rsidRDefault="002C5B7E" w:rsidP="002C5B7E">
            <w:pPr>
              <w:numPr>
                <w:ilvl w:val="2"/>
                <w:numId w:val="9"/>
              </w:numPr>
              <w:jc w:val="both"/>
            </w:pPr>
            <w:r w:rsidRPr="00EF045F">
              <w:t xml:space="preserve">Etre co-auteur d’un article dans une revue à comité de lecture </w:t>
            </w:r>
            <w:r w:rsidRPr="009016CD">
              <w:rPr>
                <w:b/>
                <w:u w:val="single"/>
              </w:rPr>
              <w:t>et</w:t>
            </w:r>
            <w:r w:rsidRPr="00EF045F">
              <w:t xml:space="preserve"> avoir présenté en premier une communication orale ou affichée dans un congrès national ou international</w:t>
            </w:r>
          </w:p>
          <w:p w14:paraId="2B5B12BD" w14:textId="77777777" w:rsidR="002C5B7E" w:rsidRPr="00EF045F" w:rsidRDefault="002C5B7E" w:rsidP="002C5B7E">
            <w:pPr>
              <w:numPr>
                <w:ilvl w:val="0"/>
                <w:numId w:val="9"/>
              </w:numPr>
              <w:jc w:val="both"/>
            </w:pPr>
            <w:r w:rsidRPr="00EF045F">
              <w:t>Justifier d’une participation à au moins trois ateliers de la société française de neurochirurgie, et/ou cours européens, ou workshop dont l’intérêt pédagogique aura été validé par le coordonnateur régional.</w:t>
            </w:r>
          </w:p>
          <w:p w14:paraId="5FEAB932" w14:textId="77777777" w:rsidR="002C5B7E" w:rsidRPr="00EF045F" w:rsidRDefault="002C5B7E" w:rsidP="002C5B7E">
            <w:pPr>
              <w:numPr>
                <w:ilvl w:val="0"/>
                <w:numId w:val="9"/>
              </w:numPr>
              <w:jc w:val="both"/>
            </w:pPr>
            <w:r w:rsidRPr="00EF045F">
              <w:t>Justifier d’une progression dans l’exercice chirurgical au moyen d’un cahier opératoire</w:t>
            </w:r>
            <w:r>
              <w:t xml:space="preserve"> (e-carnet)</w:t>
            </w:r>
          </w:p>
          <w:p w14:paraId="4ACF9984" w14:textId="77777777" w:rsidR="002C5B7E" w:rsidRDefault="002C5B7E" w:rsidP="002C5B7E">
            <w:pPr>
              <w:numPr>
                <w:ilvl w:val="0"/>
                <w:numId w:val="9"/>
              </w:numPr>
              <w:jc w:val="both"/>
            </w:pPr>
            <w:r w:rsidRPr="00EF045F">
              <w:t>Justifier d’une bonne assiduité aux enseignements inter-régionaux</w:t>
            </w:r>
          </w:p>
          <w:p w14:paraId="76921366" w14:textId="61DBA9E1" w:rsidR="002C5B7E" w:rsidRPr="002C5B7E" w:rsidRDefault="002C5B7E" w:rsidP="002C5B7E">
            <w:pPr>
              <w:numPr>
                <w:ilvl w:val="0"/>
                <w:numId w:val="9"/>
              </w:numPr>
              <w:jc w:val="both"/>
            </w:pPr>
            <w:r>
              <w:t>Présenter leur thèse de médecine</w:t>
            </w:r>
          </w:p>
          <w:p w14:paraId="410E5236" w14:textId="77777777" w:rsidR="002C5B7E" w:rsidRPr="008B7665" w:rsidRDefault="002C5B7E" w:rsidP="008B7665">
            <w:pPr>
              <w:jc w:val="both"/>
              <w:rPr>
                <w:rFonts w:ascii="Calibri" w:hAnsi="Calibri"/>
              </w:rPr>
            </w:pPr>
            <w:r w:rsidRPr="008B7665">
              <w:rPr>
                <w:rFonts w:ascii="Calibri" w:hAnsi="Calibri"/>
              </w:rPr>
              <w:t>En cas de difficultés liées aux compétences génériques, une évaluation 360° sera proposée à l’étudiant</w:t>
            </w:r>
          </w:p>
          <w:p w14:paraId="07B36AF1" w14:textId="77777777" w:rsidR="008C5225" w:rsidRPr="008C5937" w:rsidRDefault="008C5225" w:rsidP="00473B56"/>
        </w:tc>
      </w:tr>
      <w:tr w:rsidR="00FE2438" w:rsidRPr="008C5937" w14:paraId="646B869E" w14:textId="77777777" w:rsidTr="00473B56">
        <w:trPr>
          <w:trHeight w:val="555"/>
        </w:trPr>
        <w:tc>
          <w:tcPr>
            <w:tcW w:w="0" w:type="auto"/>
            <w:shd w:val="clear" w:color="auto" w:fill="D9D9D9" w:themeFill="background1" w:themeFillShade="D9"/>
            <w:vAlign w:val="center"/>
            <w:hideMark/>
          </w:tcPr>
          <w:p w14:paraId="521E0325" w14:textId="77777777" w:rsidR="00FE2438" w:rsidRPr="008C5937" w:rsidRDefault="00FE2438" w:rsidP="00473B56">
            <w:pPr>
              <w:jc w:val="center"/>
              <w:rPr>
                <w:b/>
                <w:bCs/>
              </w:rPr>
            </w:pPr>
            <w:r w:rsidRPr="008C5937">
              <w:rPr>
                <w:b/>
                <w:bCs/>
              </w:rPr>
              <w:lastRenderedPageBreak/>
              <w:t>4. Phase de mise en situation</w:t>
            </w:r>
          </w:p>
        </w:tc>
      </w:tr>
      <w:tr w:rsidR="00FE2438" w:rsidRPr="008C5937" w14:paraId="5BDA24FD" w14:textId="77777777" w:rsidTr="00FE2438">
        <w:trPr>
          <w:trHeight w:val="300"/>
        </w:trPr>
        <w:tc>
          <w:tcPr>
            <w:tcW w:w="0" w:type="auto"/>
            <w:hideMark/>
          </w:tcPr>
          <w:p w14:paraId="0C1855FC" w14:textId="77777777" w:rsidR="00473B56" w:rsidRDefault="00FE2438" w:rsidP="00473B56">
            <w:r w:rsidRPr="008C5937">
              <w:rPr>
                <w:b/>
                <w:bCs/>
              </w:rPr>
              <w:t>4.1. Durée :</w:t>
            </w:r>
            <w:r w:rsidRPr="008C5937">
              <w:t xml:space="preserve"> </w:t>
            </w:r>
          </w:p>
          <w:p w14:paraId="1CA75E52" w14:textId="114EEAD8" w:rsidR="00FE2438" w:rsidRPr="008C5937" w:rsidRDefault="002C5B7E" w:rsidP="005B3871">
            <w:pPr>
              <w:jc w:val="both"/>
              <w:rPr>
                <w:b/>
                <w:bCs/>
              </w:rPr>
            </w:pPr>
            <w:r>
              <w:t>Quatre</w:t>
            </w:r>
            <w:r w:rsidR="00FE2438" w:rsidRPr="008C5937">
              <w:t xml:space="preserve"> semestres </w:t>
            </w:r>
            <w:r w:rsidR="005B3871">
              <w:t xml:space="preserve"> </w:t>
            </w:r>
          </w:p>
        </w:tc>
      </w:tr>
      <w:tr w:rsidR="00FE2438" w:rsidRPr="008C5937" w14:paraId="0C32F4C1" w14:textId="77777777" w:rsidTr="00FE2438">
        <w:trPr>
          <w:trHeight w:val="300"/>
        </w:trPr>
        <w:tc>
          <w:tcPr>
            <w:tcW w:w="0" w:type="auto"/>
            <w:hideMark/>
          </w:tcPr>
          <w:p w14:paraId="5AC9D666" w14:textId="77777777" w:rsidR="00FE2438" w:rsidRPr="008C5937" w:rsidRDefault="00FE2438">
            <w:pPr>
              <w:rPr>
                <w:b/>
                <w:bCs/>
              </w:rPr>
            </w:pPr>
            <w:r w:rsidRPr="008C5937">
              <w:rPr>
                <w:b/>
                <w:bCs/>
              </w:rPr>
              <w:t>4.2. Enseignements hors stages en lien avec la préparation à l'exercice professionnel (gestion de cabinet…)</w:t>
            </w:r>
          </w:p>
        </w:tc>
      </w:tr>
      <w:tr w:rsidR="00FE2438" w:rsidRPr="008C5937" w14:paraId="559C8DCE" w14:textId="77777777" w:rsidTr="00FE2438">
        <w:trPr>
          <w:trHeight w:val="300"/>
        </w:trPr>
        <w:tc>
          <w:tcPr>
            <w:tcW w:w="0" w:type="auto"/>
            <w:hideMark/>
          </w:tcPr>
          <w:p w14:paraId="3718965F" w14:textId="796E0EBD" w:rsidR="00473B56" w:rsidRDefault="00FE2438" w:rsidP="003A2C0E">
            <w:pPr>
              <w:rPr>
                <w:b/>
                <w:bCs/>
                <w:i/>
                <w:iCs/>
              </w:rPr>
            </w:pPr>
            <w:r w:rsidRPr="008C5937">
              <w:rPr>
                <w:b/>
                <w:bCs/>
                <w:i/>
                <w:iCs/>
              </w:rPr>
              <w:t xml:space="preserve">Volume horaire : </w:t>
            </w:r>
          </w:p>
          <w:p w14:paraId="0E385922" w14:textId="391A065B" w:rsidR="00E17312" w:rsidRPr="00E17312" w:rsidRDefault="00E17312" w:rsidP="003A2C0E">
            <w:pPr>
              <w:rPr>
                <w:bCs/>
                <w:iCs/>
              </w:rPr>
            </w:pPr>
            <w:r>
              <w:rPr>
                <w:bCs/>
                <w:iCs/>
              </w:rPr>
              <w:t>Aucun</w:t>
            </w:r>
            <w:r w:rsidR="00AC3307">
              <w:rPr>
                <w:bCs/>
                <w:iCs/>
              </w:rPr>
              <w:t xml:space="preserve"> enseignement n’est proposé lors de</w:t>
            </w:r>
            <w:r>
              <w:rPr>
                <w:bCs/>
                <w:iCs/>
              </w:rPr>
              <w:t xml:space="preserve"> la phase de mise en situation</w:t>
            </w:r>
            <w:r w:rsidR="00C737E3">
              <w:rPr>
                <w:bCs/>
                <w:iCs/>
              </w:rPr>
              <w:t>. Cette phase a</w:t>
            </w:r>
            <w:r w:rsidR="00AC3307">
              <w:rPr>
                <w:bCs/>
                <w:iCs/>
              </w:rPr>
              <w:t xml:space="preserve"> pour but développer les compétences et l’expérience, les connaissances sont supposées acquises. L’étudiant pourra ou devra investir des formations type DPC comme ses ainés</w:t>
            </w:r>
          </w:p>
          <w:p w14:paraId="648ECEB3" w14:textId="15F6C60D" w:rsidR="003A2C0E" w:rsidRPr="003A2C0E" w:rsidRDefault="003A2C0E" w:rsidP="003A2C0E">
            <w:pPr>
              <w:rPr>
                <w:bCs/>
                <w:iCs/>
              </w:rPr>
            </w:pPr>
          </w:p>
        </w:tc>
      </w:tr>
      <w:tr w:rsidR="00FE2438" w:rsidRPr="008C5937" w14:paraId="6EF8F79D" w14:textId="77777777" w:rsidTr="00FE2438">
        <w:trPr>
          <w:trHeight w:val="300"/>
        </w:trPr>
        <w:tc>
          <w:tcPr>
            <w:tcW w:w="0" w:type="auto"/>
            <w:hideMark/>
          </w:tcPr>
          <w:p w14:paraId="4C918EBF" w14:textId="1EA7F4BC" w:rsidR="00473B56" w:rsidRDefault="00FE2438" w:rsidP="003A2C0E">
            <w:pPr>
              <w:rPr>
                <w:b/>
                <w:bCs/>
              </w:rPr>
            </w:pPr>
            <w:r w:rsidRPr="008C5937">
              <w:rPr>
                <w:b/>
                <w:bCs/>
                <w:i/>
                <w:iCs/>
              </w:rPr>
              <w:t>Nature des enseignements :</w:t>
            </w:r>
            <w:r w:rsidRPr="008C5937">
              <w:rPr>
                <w:b/>
                <w:bCs/>
              </w:rPr>
              <w:t xml:space="preserve"> </w:t>
            </w:r>
            <w:r w:rsidR="00AC3307" w:rsidRPr="00AC3307">
              <w:rPr>
                <w:bCs/>
              </w:rPr>
              <w:t>aucun</w:t>
            </w:r>
          </w:p>
          <w:p w14:paraId="781F9736" w14:textId="454D9673" w:rsidR="003A2C0E" w:rsidRPr="003A2C0E" w:rsidRDefault="003A2C0E" w:rsidP="003A2C0E">
            <w:pPr>
              <w:rPr>
                <w:bCs/>
              </w:rPr>
            </w:pPr>
          </w:p>
        </w:tc>
      </w:tr>
      <w:tr w:rsidR="00FE2438" w:rsidRPr="008C5937" w14:paraId="3B316071" w14:textId="77777777" w:rsidTr="00FE2438">
        <w:trPr>
          <w:trHeight w:val="300"/>
        </w:trPr>
        <w:tc>
          <w:tcPr>
            <w:tcW w:w="0" w:type="auto"/>
            <w:hideMark/>
          </w:tcPr>
          <w:p w14:paraId="18DB96B5" w14:textId="3F2812F6" w:rsidR="003A2C0E" w:rsidRPr="0095689F" w:rsidRDefault="00FE2438" w:rsidP="0095689F">
            <w:r w:rsidRPr="0095689F">
              <w:rPr>
                <w:b/>
                <w:bCs/>
                <w:i/>
                <w:iCs/>
              </w:rPr>
              <w:t>Connaissances et compétences à acquérir :</w:t>
            </w:r>
            <w:r w:rsidRPr="0095689F">
              <w:t xml:space="preserve"> </w:t>
            </w:r>
            <w:r w:rsidR="00AC3307" w:rsidRPr="0095689F">
              <w:t>augmenter l’expérience chirurgicale par la mise en responsabilité de l’étudiant</w:t>
            </w:r>
            <w:r w:rsidR="00F831EB" w:rsidRPr="0095689F">
              <w:t xml:space="preserve"> attesté par </w:t>
            </w:r>
            <w:r w:rsidR="005B3871" w:rsidRPr="0095689F">
              <w:t>l’analyse du cahier opératoire (e-carnet)</w:t>
            </w:r>
            <w:r w:rsidR="0095689F" w:rsidRPr="0095689F">
              <w:t xml:space="preserve">, poursuivre l’acquisition des compétences génériques transversales. Proposer des formations sur les aspects professionnels de leur exercice  (public ou privée) sur les problèmes juridiques et assurantiels, sur déontologie médicale et les problèmes éthiques. </w:t>
            </w:r>
          </w:p>
        </w:tc>
      </w:tr>
      <w:tr w:rsidR="00FE2438" w:rsidRPr="008C5937" w14:paraId="6C60DB00" w14:textId="77777777" w:rsidTr="00FE2438">
        <w:trPr>
          <w:trHeight w:val="300"/>
        </w:trPr>
        <w:tc>
          <w:tcPr>
            <w:tcW w:w="0" w:type="auto"/>
            <w:hideMark/>
          </w:tcPr>
          <w:p w14:paraId="704D9BDA" w14:textId="77777777" w:rsidR="00FE2438" w:rsidRPr="008C5937" w:rsidRDefault="00FE2438">
            <w:pPr>
              <w:rPr>
                <w:b/>
                <w:bCs/>
              </w:rPr>
            </w:pPr>
            <w:r w:rsidRPr="008C5937">
              <w:rPr>
                <w:b/>
                <w:bCs/>
              </w:rPr>
              <w:t>4.3. Stages</w:t>
            </w:r>
          </w:p>
        </w:tc>
      </w:tr>
      <w:tr w:rsidR="00FE2438" w:rsidRPr="008C5937" w14:paraId="7BDF6A80" w14:textId="77777777" w:rsidTr="00FE2438">
        <w:trPr>
          <w:trHeight w:val="300"/>
        </w:trPr>
        <w:tc>
          <w:tcPr>
            <w:tcW w:w="0" w:type="auto"/>
            <w:hideMark/>
          </w:tcPr>
          <w:p w14:paraId="5ABE82EA" w14:textId="35126B66" w:rsidR="00473B56" w:rsidRPr="005B3871" w:rsidRDefault="00FE2438" w:rsidP="00473B56">
            <w:pPr>
              <w:rPr>
                <w:iCs/>
              </w:rPr>
            </w:pPr>
            <w:r w:rsidRPr="008C5937">
              <w:rPr>
                <w:b/>
                <w:bCs/>
                <w:i/>
                <w:iCs/>
              </w:rPr>
              <w:t>Nombre et durée des st</w:t>
            </w:r>
            <w:r w:rsidR="0023218E">
              <w:rPr>
                <w:b/>
                <w:bCs/>
                <w:i/>
                <w:iCs/>
              </w:rPr>
              <w:t>ages de niveau III</w:t>
            </w:r>
            <w:r w:rsidRPr="008C5937">
              <w:rPr>
                <w:b/>
                <w:bCs/>
                <w:i/>
                <w:iCs/>
              </w:rPr>
              <w:t xml:space="preserve"> :</w:t>
            </w:r>
            <w:r w:rsidRPr="008C5937">
              <w:rPr>
                <w:i/>
                <w:iCs/>
              </w:rPr>
              <w:t xml:space="preserve"> </w:t>
            </w:r>
            <w:r w:rsidR="005B3871" w:rsidRPr="005B3871">
              <w:rPr>
                <w:iCs/>
              </w:rPr>
              <w:t>2 stages de deux fois 6 mois ou un seul stage pour toute la durée de la phase de mise en situation. L’allongement de la durée du stage permet l’implication forte de l’interne dans la structure et sa prise de responsabilité, seul moyen d’acquisition des compétences.</w:t>
            </w:r>
          </w:p>
          <w:p w14:paraId="59B124D8" w14:textId="77777777" w:rsidR="00FE2438" w:rsidRPr="003A2C0E" w:rsidRDefault="00FE2438" w:rsidP="00BE626D">
            <w:pPr>
              <w:rPr>
                <w:bCs/>
                <w:iCs/>
              </w:rPr>
            </w:pPr>
          </w:p>
        </w:tc>
      </w:tr>
      <w:tr w:rsidR="00FE2438" w:rsidRPr="008C5937" w14:paraId="7F6992BA" w14:textId="77777777" w:rsidTr="00FE2438">
        <w:trPr>
          <w:trHeight w:val="315"/>
        </w:trPr>
        <w:tc>
          <w:tcPr>
            <w:tcW w:w="0" w:type="auto"/>
            <w:hideMark/>
          </w:tcPr>
          <w:p w14:paraId="197BB5B5" w14:textId="1EAEF0AA" w:rsidR="00473B56" w:rsidRDefault="00FE2438" w:rsidP="003A2C0E">
            <w:r w:rsidRPr="008C5937">
              <w:rPr>
                <w:b/>
                <w:bCs/>
                <w:i/>
                <w:iCs/>
              </w:rPr>
              <w:t>Nombre de stages en ambulatoire:</w:t>
            </w:r>
            <w:r w:rsidRPr="008C5937">
              <w:t xml:space="preserve"> </w:t>
            </w:r>
            <w:r w:rsidR="005B3871">
              <w:t>libre</w:t>
            </w:r>
          </w:p>
          <w:p w14:paraId="06477BEB" w14:textId="4D323081" w:rsidR="003A2C0E" w:rsidRPr="008C5937" w:rsidRDefault="003A2C0E" w:rsidP="003A2C0E"/>
        </w:tc>
      </w:tr>
      <w:tr w:rsidR="00FE2438" w:rsidRPr="008C5937" w14:paraId="13FAE173" w14:textId="77777777" w:rsidTr="00FE2438">
        <w:trPr>
          <w:trHeight w:val="300"/>
        </w:trPr>
        <w:tc>
          <w:tcPr>
            <w:tcW w:w="0" w:type="auto"/>
            <w:hideMark/>
          </w:tcPr>
          <w:p w14:paraId="102ED7CB" w14:textId="7F975737" w:rsidR="00FE2438" w:rsidRPr="005B3871" w:rsidRDefault="00FE2438" w:rsidP="00473B56">
            <w:pPr>
              <w:rPr>
                <w:bCs/>
              </w:rPr>
            </w:pPr>
            <w:r w:rsidRPr="008C5937">
              <w:rPr>
                <w:b/>
                <w:bCs/>
                <w:i/>
                <w:iCs/>
              </w:rPr>
              <w:t>Critères d'agrément des stages de niveau III</w:t>
            </w:r>
            <w:r w:rsidRPr="008C5937">
              <w:t xml:space="preserve"> :</w:t>
            </w:r>
            <w:r w:rsidRPr="008C5937">
              <w:rPr>
                <w:b/>
                <w:bCs/>
              </w:rPr>
              <w:t xml:space="preserve"> </w:t>
            </w:r>
            <w:r w:rsidR="005B3871" w:rsidRPr="005B3871">
              <w:rPr>
                <w:bCs/>
              </w:rPr>
              <w:t>stage de niveau 1, 2 ou service de neurochirurgie d’hôpitaux généraux proposant un recrutement futur à l’interne  sous réserve d’un encadrement important de l’acquisition des compétences et de l’expérience de l’interne au moyen d’un contrat pédagogique signé avec le coordonnateur inter régional.</w:t>
            </w:r>
          </w:p>
          <w:p w14:paraId="701941B6" w14:textId="77777777" w:rsidR="00473B56" w:rsidRPr="008C5937" w:rsidRDefault="00473B56" w:rsidP="00473B56"/>
        </w:tc>
      </w:tr>
      <w:tr w:rsidR="00FE2438" w:rsidRPr="008C5937" w14:paraId="2EF7FABC" w14:textId="77777777" w:rsidTr="00FE2438">
        <w:trPr>
          <w:trHeight w:val="300"/>
        </w:trPr>
        <w:tc>
          <w:tcPr>
            <w:tcW w:w="0" w:type="auto"/>
            <w:hideMark/>
          </w:tcPr>
          <w:p w14:paraId="45082F10" w14:textId="3408983E" w:rsidR="00F86863" w:rsidRDefault="00FE2438" w:rsidP="00F86863">
            <w:r w:rsidRPr="008C5937">
              <w:rPr>
                <w:b/>
                <w:bCs/>
              </w:rPr>
              <w:t>4.4</w:t>
            </w:r>
            <w:r w:rsidR="00BE626D">
              <w:rPr>
                <w:b/>
                <w:bCs/>
              </w:rPr>
              <w:t>.</w:t>
            </w:r>
            <w:r w:rsidRPr="008C5937">
              <w:rPr>
                <w:b/>
                <w:bCs/>
              </w:rPr>
              <w:t xml:space="preserve"> Compétences à acquérir</w:t>
            </w:r>
            <w:r w:rsidR="00F86863">
              <w:rPr>
                <w:b/>
                <w:bCs/>
              </w:rPr>
              <w:t> </w:t>
            </w:r>
            <w:r w:rsidR="0095689F">
              <w:rPr>
                <w:b/>
                <w:bCs/>
              </w:rPr>
              <w:t xml:space="preserve">: </w:t>
            </w:r>
            <w:r w:rsidR="0095689F">
              <w:t>augmenter</w:t>
            </w:r>
            <w:r w:rsidR="00F86863">
              <w:t xml:space="preserve"> l’expérience chirurgicale par la mise en responsabilité de l’étudiant attesté par l’analyse du cahier opératoire (e-carnet)</w:t>
            </w:r>
          </w:p>
          <w:p w14:paraId="1AA7B5D9" w14:textId="77777777" w:rsidR="003A2C0E" w:rsidRPr="003A2C0E" w:rsidRDefault="003A2C0E">
            <w:pPr>
              <w:rPr>
                <w:bCs/>
              </w:rPr>
            </w:pPr>
          </w:p>
        </w:tc>
      </w:tr>
      <w:tr w:rsidR="00FE2438" w:rsidRPr="008C5937" w14:paraId="75659D34" w14:textId="77777777" w:rsidTr="00FE2438">
        <w:trPr>
          <w:trHeight w:val="300"/>
        </w:trPr>
        <w:tc>
          <w:tcPr>
            <w:tcW w:w="0" w:type="auto"/>
            <w:hideMark/>
          </w:tcPr>
          <w:p w14:paraId="128410B9" w14:textId="4F174C8C" w:rsidR="00F86863" w:rsidRDefault="00FE2438" w:rsidP="00F86863">
            <w:r w:rsidRPr="008C5937">
              <w:rPr>
                <w:b/>
                <w:bCs/>
              </w:rPr>
              <w:t>4.5. Evaluation</w:t>
            </w:r>
            <w:r w:rsidR="00F86863">
              <w:t xml:space="preserve"> l’analyse du cahier opératoire (e-carnet)</w:t>
            </w:r>
            <w:r w:rsidR="0095689F">
              <w:t>, participations aux séminaires transversaux.</w:t>
            </w:r>
          </w:p>
          <w:p w14:paraId="6A91C5FE" w14:textId="77777777" w:rsidR="00FE2438" w:rsidRPr="008C5937" w:rsidRDefault="00FE2438">
            <w:pPr>
              <w:rPr>
                <w:b/>
                <w:bCs/>
              </w:rPr>
            </w:pPr>
          </w:p>
        </w:tc>
      </w:tr>
      <w:tr w:rsidR="00FE2438" w:rsidRPr="008C5937" w14:paraId="1AE3B74C" w14:textId="77777777" w:rsidTr="00FE2438">
        <w:trPr>
          <w:trHeight w:val="300"/>
        </w:trPr>
        <w:tc>
          <w:tcPr>
            <w:tcW w:w="0" w:type="auto"/>
            <w:hideMark/>
          </w:tcPr>
          <w:p w14:paraId="564CBE5D" w14:textId="720E5ADD" w:rsidR="00FE2438" w:rsidRDefault="00FE2438" w:rsidP="00473B56">
            <w:r w:rsidRPr="008C5937">
              <w:rPr>
                <w:b/>
                <w:bCs/>
                <w:i/>
                <w:iCs/>
              </w:rPr>
              <w:t>Modalités de l'évaluation des connaissances :</w:t>
            </w:r>
            <w:r w:rsidRPr="008C5937">
              <w:t xml:space="preserve"> </w:t>
            </w:r>
            <w:r w:rsidR="00F86863">
              <w:t>aucune</w:t>
            </w:r>
          </w:p>
          <w:p w14:paraId="592FD3F8" w14:textId="77777777" w:rsidR="00473B56" w:rsidRPr="008C5937" w:rsidRDefault="00473B56" w:rsidP="008C5225">
            <w:pPr>
              <w:jc w:val="both"/>
            </w:pPr>
          </w:p>
        </w:tc>
      </w:tr>
      <w:tr w:rsidR="00FE2438" w:rsidRPr="008C5937" w14:paraId="7156FBB9" w14:textId="77777777" w:rsidTr="00FE2438">
        <w:trPr>
          <w:trHeight w:val="330"/>
        </w:trPr>
        <w:tc>
          <w:tcPr>
            <w:tcW w:w="0" w:type="auto"/>
            <w:hideMark/>
          </w:tcPr>
          <w:p w14:paraId="2BC0D07D" w14:textId="77777777" w:rsidR="00F86863" w:rsidRDefault="00FE2438" w:rsidP="00F86863">
            <w:r w:rsidRPr="008C5937">
              <w:rPr>
                <w:b/>
                <w:bCs/>
                <w:i/>
                <w:iCs/>
              </w:rPr>
              <w:t>Modalités de l'évaluation des compétences :</w:t>
            </w:r>
            <w:r w:rsidRPr="008C5937">
              <w:t xml:space="preserve"> </w:t>
            </w:r>
            <w:r w:rsidR="00F86863">
              <w:t>l’analyse du cahier opératoire (e-carnet)</w:t>
            </w:r>
          </w:p>
          <w:p w14:paraId="4E7B757C" w14:textId="00654961" w:rsidR="003A2C0E" w:rsidRPr="008C5937" w:rsidRDefault="003A2C0E" w:rsidP="00383F03"/>
        </w:tc>
      </w:tr>
      <w:tr w:rsidR="00AA3727" w:rsidRPr="008C5937" w14:paraId="6C6A167A" w14:textId="77777777" w:rsidTr="00FE2438">
        <w:trPr>
          <w:trHeight w:val="330"/>
        </w:trPr>
        <w:tc>
          <w:tcPr>
            <w:tcW w:w="0" w:type="auto"/>
          </w:tcPr>
          <w:p w14:paraId="3CED26C1" w14:textId="671DEE0B" w:rsidR="00AA3727" w:rsidRPr="00F86863" w:rsidRDefault="00AA3727" w:rsidP="00AA3727">
            <w:pPr>
              <w:rPr>
                <w:b/>
                <w:bCs/>
                <w:i/>
                <w:iCs/>
              </w:rPr>
            </w:pPr>
            <w:r w:rsidRPr="008C5937">
              <w:rPr>
                <w:b/>
                <w:bCs/>
                <w:i/>
                <w:iCs/>
              </w:rPr>
              <w:t xml:space="preserve">Certification européenne </w:t>
            </w:r>
            <w:r w:rsidRPr="00F86863">
              <w:rPr>
                <w:bCs/>
                <w:iCs/>
              </w:rPr>
              <w:t>:</w:t>
            </w:r>
            <w:r w:rsidR="00F86863" w:rsidRPr="00F86863">
              <w:rPr>
                <w:bCs/>
                <w:iCs/>
              </w:rPr>
              <w:t xml:space="preserve"> l’interne pourra participer aux formations européenne</w:t>
            </w:r>
            <w:r w:rsidR="00F86863">
              <w:rPr>
                <w:bCs/>
                <w:iCs/>
              </w:rPr>
              <w:t>s de l’EANS. Elles ne peuvent être obligatoire car le nombre de places réservé</w:t>
            </w:r>
            <w:r w:rsidR="008B7665">
              <w:rPr>
                <w:bCs/>
                <w:iCs/>
              </w:rPr>
              <w:t>es</w:t>
            </w:r>
            <w:r w:rsidR="00F86863">
              <w:rPr>
                <w:bCs/>
                <w:iCs/>
              </w:rPr>
              <w:t xml:space="preserve"> aux français ne permet pas de former la totalité des internes DES de neurochirurgie français.</w:t>
            </w:r>
            <w:r w:rsidR="00F86863" w:rsidRPr="00F86863">
              <w:rPr>
                <w:b/>
                <w:bCs/>
                <w:i/>
                <w:iCs/>
              </w:rPr>
              <w:t xml:space="preserve"> </w:t>
            </w:r>
          </w:p>
          <w:p w14:paraId="0F1D26E7" w14:textId="77777777" w:rsidR="00AA3727" w:rsidRPr="008C5937" w:rsidRDefault="00AA3727" w:rsidP="00383F03">
            <w:pPr>
              <w:rPr>
                <w:b/>
                <w:bCs/>
                <w:i/>
                <w:iCs/>
              </w:rPr>
            </w:pPr>
          </w:p>
        </w:tc>
      </w:tr>
      <w:tr w:rsidR="00383F03" w:rsidRPr="008C5937" w14:paraId="5C67C6D4" w14:textId="77777777" w:rsidTr="00FE2438">
        <w:trPr>
          <w:trHeight w:val="330"/>
        </w:trPr>
        <w:tc>
          <w:tcPr>
            <w:tcW w:w="0" w:type="auto"/>
          </w:tcPr>
          <w:p w14:paraId="5E5363F8" w14:textId="77777777" w:rsidR="00383F03" w:rsidRDefault="00761C31" w:rsidP="00473B56">
            <w:pPr>
              <w:rPr>
                <w:b/>
                <w:bCs/>
                <w:iCs/>
              </w:rPr>
            </w:pPr>
            <w:r>
              <w:rPr>
                <w:b/>
                <w:bCs/>
                <w:iCs/>
              </w:rPr>
              <w:t xml:space="preserve">4.6. Modalités de </w:t>
            </w:r>
            <w:r w:rsidR="00383F03" w:rsidRPr="00383F03">
              <w:rPr>
                <w:b/>
                <w:bCs/>
                <w:iCs/>
              </w:rPr>
              <w:t>validation de la phase</w:t>
            </w:r>
          </w:p>
          <w:p w14:paraId="6037EC0E" w14:textId="5D69EDF2" w:rsidR="003A2C0E" w:rsidRPr="003A2C0E" w:rsidRDefault="00F86863" w:rsidP="00473B56">
            <w:pPr>
              <w:rPr>
                <w:bCs/>
                <w:iCs/>
              </w:rPr>
            </w:pPr>
            <w:r>
              <w:rPr>
                <w:bCs/>
                <w:iCs/>
              </w:rPr>
              <w:t>Analyse du e-carnet évaluant l’expérience de l’interne lui permettant l’obtention de son DES</w:t>
            </w:r>
          </w:p>
        </w:tc>
      </w:tr>
    </w:tbl>
    <w:p w14:paraId="350694AE" w14:textId="77777777" w:rsidR="00CD5A61" w:rsidRDefault="00CD5A61" w:rsidP="008B7665"/>
    <w:sectPr w:rsidR="00CD5A61" w:rsidSect="00BE626D">
      <w:footerReference w:type="default" r:id="rId10"/>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UNY Emmanuel" w:date="2016-10-23T18:08:00Z" w:initials="CE">
    <w:p w14:paraId="7EE35F6A" w14:textId="525344E9" w:rsidR="00C737E3" w:rsidRDefault="00C737E3">
      <w:pPr>
        <w:pStyle w:val="Commentaire"/>
      </w:pPr>
      <w:r>
        <w:rPr>
          <w:rStyle w:val="Marquedecommentaire"/>
        </w:rPr>
        <w:annotationRef/>
      </w:r>
      <w:r>
        <w:t>A supprimer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0D37D" w14:textId="77777777" w:rsidR="00965770" w:rsidRDefault="00965770" w:rsidP="00EE045A">
      <w:pPr>
        <w:spacing w:after="0" w:line="240" w:lineRule="auto"/>
      </w:pPr>
      <w:r>
        <w:separator/>
      </w:r>
    </w:p>
  </w:endnote>
  <w:endnote w:type="continuationSeparator" w:id="0">
    <w:p w14:paraId="54FF9DB8" w14:textId="77777777" w:rsidR="00965770" w:rsidRDefault="00965770" w:rsidP="00EE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67972"/>
      <w:docPartObj>
        <w:docPartGallery w:val="Page Numbers (Bottom of Page)"/>
        <w:docPartUnique/>
      </w:docPartObj>
    </w:sdtPr>
    <w:sdtEndPr/>
    <w:sdtContent>
      <w:p w14:paraId="2A77177E" w14:textId="16CFA362" w:rsidR="00906CC3" w:rsidRDefault="00906CC3">
        <w:pPr>
          <w:pStyle w:val="Pieddepage"/>
          <w:jc w:val="right"/>
        </w:pPr>
        <w:r>
          <w:fldChar w:fldCharType="begin"/>
        </w:r>
        <w:r>
          <w:instrText>PAGE   \* MERGEFORMAT</w:instrText>
        </w:r>
        <w:r>
          <w:fldChar w:fldCharType="separate"/>
        </w:r>
        <w:r w:rsidR="0082758F">
          <w:rPr>
            <w:noProof/>
          </w:rPr>
          <w:t>1</w:t>
        </w:r>
        <w:r>
          <w:fldChar w:fldCharType="end"/>
        </w:r>
      </w:p>
    </w:sdtContent>
  </w:sdt>
  <w:p w14:paraId="4B38D898" w14:textId="77777777" w:rsidR="00906CC3" w:rsidRDefault="00906C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0320C" w14:textId="77777777" w:rsidR="00965770" w:rsidRDefault="00965770" w:rsidP="00EE045A">
      <w:pPr>
        <w:spacing w:after="0" w:line="240" w:lineRule="auto"/>
      </w:pPr>
      <w:r>
        <w:separator/>
      </w:r>
    </w:p>
  </w:footnote>
  <w:footnote w:type="continuationSeparator" w:id="0">
    <w:p w14:paraId="1F1E39EF" w14:textId="77777777" w:rsidR="00965770" w:rsidRDefault="00965770" w:rsidP="00EE0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452"/>
    <w:multiLevelType w:val="hybridMultilevel"/>
    <w:tmpl w:val="175467EC"/>
    <w:lvl w:ilvl="0" w:tplc="B63C93E8">
      <w:start w:val="1"/>
      <w:numFmt w:val="bullet"/>
      <w:lvlText w:val="-"/>
      <w:lvlJc w:val="left"/>
      <w:pPr>
        <w:ind w:left="1780" w:hanging="360"/>
      </w:pPr>
      <w:rPr>
        <w:rFonts w:ascii="Calibri" w:eastAsiaTheme="minorEastAsia" w:hAnsi="Calibri" w:cstheme="minorBidi" w:hint="default"/>
        <w:i/>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
    <w:nsid w:val="180C375C"/>
    <w:multiLevelType w:val="multilevel"/>
    <w:tmpl w:val="F50EB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673F62"/>
    <w:multiLevelType w:val="hybridMultilevel"/>
    <w:tmpl w:val="7EC844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4F0ECB"/>
    <w:multiLevelType w:val="multilevel"/>
    <w:tmpl w:val="5D8C2C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8C4253"/>
    <w:multiLevelType w:val="hybridMultilevel"/>
    <w:tmpl w:val="379A8A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8C45E0"/>
    <w:multiLevelType w:val="hybridMultilevel"/>
    <w:tmpl w:val="B61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F34150"/>
    <w:multiLevelType w:val="hybridMultilevel"/>
    <w:tmpl w:val="D1F65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9F7007"/>
    <w:multiLevelType w:val="hybridMultilevel"/>
    <w:tmpl w:val="03D41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D10CF1"/>
    <w:multiLevelType w:val="multilevel"/>
    <w:tmpl w:val="3F0E8A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996B35"/>
    <w:multiLevelType w:val="hybridMultilevel"/>
    <w:tmpl w:val="3AE822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4"/>
  </w:num>
  <w:num w:numId="5">
    <w:abstractNumId w:val="2"/>
  </w:num>
  <w:num w:numId="6">
    <w:abstractNumId w:val="0"/>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37"/>
    <w:rsid w:val="00057452"/>
    <w:rsid w:val="000C1FD5"/>
    <w:rsid w:val="001948DB"/>
    <w:rsid w:val="0023218E"/>
    <w:rsid w:val="002421AF"/>
    <w:rsid w:val="002642BA"/>
    <w:rsid w:val="00273626"/>
    <w:rsid w:val="002C5B7E"/>
    <w:rsid w:val="002F7C74"/>
    <w:rsid w:val="003460D9"/>
    <w:rsid w:val="00383F03"/>
    <w:rsid w:val="00386B75"/>
    <w:rsid w:val="003A2C0E"/>
    <w:rsid w:val="003B0218"/>
    <w:rsid w:val="003F61DD"/>
    <w:rsid w:val="00473AF4"/>
    <w:rsid w:val="00473B56"/>
    <w:rsid w:val="00555541"/>
    <w:rsid w:val="005649F0"/>
    <w:rsid w:val="005809D0"/>
    <w:rsid w:val="005B3871"/>
    <w:rsid w:val="0063600C"/>
    <w:rsid w:val="00681C02"/>
    <w:rsid w:val="006978E6"/>
    <w:rsid w:val="006D72F6"/>
    <w:rsid w:val="00701F47"/>
    <w:rsid w:val="00725E56"/>
    <w:rsid w:val="007343D5"/>
    <w:rsid w:val="00737212"/>
    <w:rsid w:val="00761C31"/>
    <w:rsid w:val="00771EE1"/>
    <w:rsid w:val="007941A6"/>
    <w:rsid w:val="008138DF"/>
    <w:rsid w:val="0082758F"/>
    <w:rsid w:val="008B7665"/>
    <w:rsid w:val="008C5225"/>
    <w:rsid w:val="008C5937"/>
    <w:rsid w:val="008E2084"/>
    <w:rsid w:val="009063F8"/>
    <w:rsid w:val="00906CC3"/>
    <w:rsid w:val="0095689F"/>
    <w:rsid w:val="00965770"/>
    <w:rsid w:val="009E5B46"/>
    <w:rsid w:val="00A34B8A"/>
    <w:rsid w:val="00AA3727"/>
    <w:rsid w:val="00AB2CB8"/>
    <w:rsid w:val="00AC3307"/>
    <w:rsid w:val="00B11BC2"/>
    <w:rsid w:val="00B75489"/>
    <w:rsid w:val="00B823E7"/>
    <w:rsid w:val="00BB4060"/>
    <w:rsid w:val="00BD5AC3"/>
    <w:rsid w:val="00BE626D"/>
    <w:rsid w:val="00C53A91"/>
    <w:rsid w:val="00C55879"/>
    <w:rsid w:val="00C737E3"/>
    <w:rsid w:val="00CC06B4"/>
    <w:rsid w:val="00CD5A61"/>
    <w:rsid w:val="00DD2859"/>
    <w:rsid w:val="00E17312"/>
    <w:rsid w:val="00EE045A"/>
    <w:rsid w:val="00F831EB"/>
    <w:rsid w:val="00F86863"/>
    <w:rsid w:val="00F92639"/>
    <w:rsid w:val="00FE24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5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3600C"/>
    <w:pPr>
      <w:ind w:left="720"/>
      <w:contextualSpacing/>
    </w:pPr>
  </w:style>
  <w:style w:type="paragraph" w:styleId="Textedebulles">
    <w:name w:val="Balloon Text"/>
    <w:basedOn w:val="Normal"/>
    <w:link w:val="TextedebullesCar"/>
    <w:uiPriority w:val="99"/>
    <w:semiHidden/>
    <w:unhideWhenUsed/>
    <w:rsid w:val="008E2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084"/>
    <w:rPr>
      <w:rFonts w:ascii="Tahoma" w:hAnsi="Tahoma" w:cs="Tahoma"/>
      <w:sz w:val="16"/>
      <w:szCs w:val="16"/>
    </w:rPr>
  </w:style>
  <w:style w:type="paragraph" w:styleId="En-tte">
    <w:name w:val="header"/>
    <w:basedOn w:val="Normal"/>
    <w:link w:val="En-tteCar"/>
    <w:uiPriority w:val="99"/>
    <w:unhideWhenUsed/>
    <w:rsid w:val="00EE045A"/>
    <w:pPr>
      <w:tabs>
        <w:tab w:val="center" w:pos="4536"/>
        <w:tab w:val="right" w:pos="9072"/>
      </w:tabs>
      <w:spacing w:after="0" w:line="240" w:lineRule="auto"/>
    </w:pPr>
  </w:style>
  <w:style w:type="character" w:customStyle="1" w:styleId="En-tteCar">
    <w:name w:val="En-tête Car"/>
    <w:basedOn w:val="Policepardfaut"/>
    <w:link w:val="En-tte"/>
    <w:uiPriority w:val="99"/>
    <w:rsid w:val="00EE045A"/>
  </w:style>
  <w:style w:type="paragraph" w:styleId="Pieddepage">
    <w:name w:val="footer"/>
    <w:basedOn w:val="Normal"/>
    <w:link w:val="PieddepageCar"/>
    <w:uiPriority w:val="99"/>
    <w:unhideWhenUsed/>
    <w:rsid w:val="00EE0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45A"/>
  </w:style>
  <w:style w:type="character" w:styleId="Marquedecommentaire">
    <w:name w:val="annotation reference"/>
    <w:basedOn w:val="Policepardfaut"/>
    <w:uiPriority w:val="99"/>
    <w:semiHidden/>
    <w:unhideWhenUsed/>
    <w:rsid w:val="00C737E3"/>
    <w:rPr>
      <w:sz w:val="16"/>
      <w:szCs w:val="16"/>
    </w:rPr>
  </w:style>
  <w:style w:type="paragraph" w:styleId="Commentaire">
    <w:name w:val="annotation text"/>
    <w:basedOn w:val="Normal"/>
    <w:link w:val="CommentaireCar"/>
    <w:uiPriority w:val="99"/>
    <w:semiHidden/>
    <w:unhideWhenUsed/>
    <w:rsid w:val="00C737E3"/>
    <w:pPr>
      <w:spacing w:line="240" w:lineRule="auto"/>
    </w:pPr>
    <w:rPr>
      <w:sz w:val="20"/>
      <w:szCs w:val="20"/>
    </w:rPr>
  </w:style>
  <w:style w:type="character" w:customStyle="1" w:styleId="CommentaireCar">
    <w:name w:val="Commentaire Car"/>
    <w:basedOn w:val="Policepardfaut"/>
    <w:link w:val="Commentaire"/>
    <w:uiPriority w:val="99"/>
    <w:semiHidden/>
    <w:rsid w:val="00C737E3"/>
    <w:rPr>
      <w:sz w:val="20"/>
      <w:szCs w:val="20"/>
    </w:rPr>
  </w:style>
  <w:style w:type="paragraph" w:styleId="Objetducommentaire">
    <w:name w:val="annotation subject"/>
    <w:basedOn w:val="Commentaire"/>
    <w:next w:val="Commentaire"/>
    <w:link w:val="ObjetducommentaireCar"/>
    <w:uiPriority w:val="99"/>
    <w:semiHidden/>
    <w:unhideWhenUsed/>
    <w:rsid w:val="00C737E3"/>
    <w:rPr>
      <w:b/>
      <w:bCs/>
    </w:rPr>
  </w:style>
  <w:style w:type="character" w:customStyle="1" w:styleId="ObjetducommentaireCar">
    <w:name w:val="Objet du commentaire Car"/>
    <w:basedOn w:val="CommentaireCar"/>
    <w:link w:val="Objetducommentaire"/>
    <w:uiPriority w:val="99"/>
    <w:semiHidden/>
    <w:rsid w:val="00C737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5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3600C"/>
    <w:pPr>
      <w:ind w:left="720"/>
      <w:contextualSpacing/>
    </w:pPr>
  </w:style>
  <w:style w:type="paragraph" w:styleId="Textedebulles">
    <w:name w:val="Balloon Text"/>
    <w:basedOn w:val="Normal"/>
    <w:link w:val="TextedebullesCar"/>
    <w:uiPriority w:val="99"/>
    <w:semiHidden/>
    <w:unhideWhenUsed/>
    <w:rsid w:val="008E2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084"/>
    <w:rPr>
      <w:rFonts w:ascii="Tahoma" w:hAnsi="Tahoma" w:cs="Tahoma"/>
      <w:sz w:val="16"/>
      <w:szCs w:val="16"/>
    </w:rPr>
  </w:style>
  <w:style w:type="paragraph" w:styleId="En-tte">
    <w:name w:val="header"/>
    <w:basedOn w:val="Normal"/>
    <w:link w:val="En-tteCar"/>
    <w:uiPriority w:val="99"/>
    <w:unhideWhenUsed/>
    <w:rsid w:val="00EE045A"/>
    <w:pPr>
      <w:tabs>
        <w:tab w:val="center" w:pos="4536"/>
        <w:tab w:val="right" w:pos="9072"/>
      </w:tabs>
      <w:spacing w:after="0" w:line="240" w:lineRule="auto"/>
    </w:pPr>
  </w:style>
  <w:style w:type="character" w:customStyle="1" w:styleId="En-tteCar">
    <w:name w:val="En-tête Car"/>
    <w:basedOn w:val="Policepardfaut"/>
    <w:link w:val="En-tte"/>
    <w:uiPriority w:val="99"/>
    <w:rsid w:val="00EE045A"/>
  </w:style>
  <w:style w:type="paragraph" w:styleId="Pieddepage">
    <w:name w:val="footer"/>
    <w:basedOn w:val="Normal"/>
    <w:link w:val="PieddepageCar"/>
    <w:uiPriority w:val="99"/>
    <w:unhideWhenUsed/>
    <w:rsid w:val="00EE0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45A"/>
  </w:style>
  <w:style w:type="character" w:styleId="Marquedecommentaire">
    <w:name w:val="annotation reference"/>
    <w:basedOn w:val="Policepardfaut"/>
    <w:uiPriority w:val="99"/>
    <w:semiHidden/>
    <w:unhideWhenUsed/>
    <w:rsid w:val="00C737E3"/>
    <w:rPr>
      <w:sz w:val="16"/>
      <w:szCs w:val="16"/>
    </w:rPr>
  </w:style>
  <w:style w:type="paragraph" w:styleId="Commentaire">
    <w:name w:val="annotation text"/>
    <w:basedOn w:val="Normal"/>
    <w:link w:val="CommentaireCar"/>
    <w:uiPriority w:val="99"/>
    <w:semiHidden/>
    <w:unhideWhenUsed/>
    <w:rsid w:val="00C737E3"/>
    <w:pPr>
      <w:spacing w:line="240" w:lineRule="auto"/>
    </w:pPr>
    <w:rPr>
      <w:sz w:val="20"/>
      <w:szCs w:val="20"/>
    </w:rPr>
  </w:style>
  <w:style w:type="character" w:customStyle="1" w:styleId="CommentaireCar">
    <w:name w:val="Commentaire Car"/>
    <w:basedOn w:val="Policepardfaut"/>
    <w:link w:val="Commentaire"/>
    <w:uiPriority w:val="99"/>
    <w:semiHidden/>
    <w:rsid w:val="00C737E3"/>
    <w:rPr>
      <w:sz w:val="20"/>
      <w:szCs w:val="20"/>
    </w:rPr>
  </w:style>
  <w:style w:type="paragraph" w:styleId="Objetducommentaire">
    <w:name w:val="annotation subject"/>
    <w:basedOn w:val="Commentaire"/>
    <w:next w:val="Commentaire"/>
    <w:link w:val="ObjetducommentaireCar"/>
    <w:uiPriority w:val="99"/>
    <w:semiHidden/>
    <w:unhideWhenUsed/>
    <w:rsid w:val="00C737E3"/>
    <w:rPr>
      <w:b/>
      <w:bCs/>
    </w:rPr>
  </w:style>
  <w:style w:type="character" w:customStyle="1" w:styleId="ObjetducommentaireCar">
    <w:name w:val="Objet du commentaire Car"/>
    <w:basedOn w:val="CommentaireCar"/>
    <w:link w:val="Objetducommentaire"/>
    <w:uiPriority w:val="99"/>
    <w:semiHidden/>
    <w:rsid w:val="00C73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6933">
      <w:bodyDiv w:val="1"/>
      <w:marLeft w:val="0"/>
      <w:marRight w:val="0"/>
      <w:marTop w:val="0"/>
      <w:marBottom w:val="0"/>
      <w:divBdr>
        <w:top w:val="none" w:sz="0" w:space="0" w:color="auto"/>
        <w:left w:val="none" w:sz="0" w:space="0" w:color="auto"/>
        <w:bottom w:val="none" w:sz="0" w:space="0" w:color="auto"/>
        <w:right w:val="none" w:sz="0" w:space="0" w:color="auto"/>
      </w:divBdr>
    </w:div>
    <w:div w:id="1050569679">
      <w:bodyDiv w:val="1"/>
      <w:marLeft w:val="0"/>
      <w:marRight w:val="0"/>
      <w:marTop w:val="0"/>
      <w:marBottom w:val="0"/>
      <w:divBdr>
        <w:top w:val="none" w:sz="0" w:space="0" w:color="auto"/>
        <w:left w:val="none" w:sz="0" w:space="0" w:color="auto"/>
        <w:bottom w:val="none" w:sz="0" w:space="0" w:color="auto"/>
        <w:right w:val="none" w:sz="0" w:space="0" w:color="auto"/>
      </w:divBdr>
    </w:div>
    <w:div w:id="1230077884">
      <w:bodyDiv w:val="1"/>
      <w:marLeft w:val="0"/>
      <w:marRight w:val="0"/>
      <w:marTop w:val="0"/>
      <w:marBottom w:val="0"/>
      <w:divBdr>
        <w:top w:val="none" w:sz="0" w:space="0" w:color="auto"/>
        <w:left w:val="none" w:sz="0" w:space="0" w:color="auto"/>
        <w:bottom w:val="none" w:sz="0" w:space="0" w:color="auto"/>
        <w:right w:val="none" w:sz="0" w:space="0" w:color="auto"/>
      </w:divBdr>
    </w:div>
    <w:div w:id="21325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4CAA-0C3C-4197-8BFA-AAD8898A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8637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CUNY Emmanuel</cp:lastModifiedBy>
  <cp:revision>2</cp:revision>
  <cp:lastPrinted>2015-07-08T10:37:00Z</cp:lastPrinted>
  <dcterms:created xsi:type="dcterms:W3CDTF">2017-01-19T14:16:00Z</dcterms:created>
  <dcterms:modified xsi:type="dcterms:W3CDTF">2017-01-19T14:16:00Z</dcterms:modified>
</cp:coreProperties>
</file>